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38" w:rsidRDefault="005C18E9" w:rsidP="007A44CE">
      <w:pPr>
        <w:spacing w:line="360" w:lineRule="auto"/>
        <w:ind w:right="-7"/>
        <w:jc w:val="both"/>
        <w:rPr>
          <w:b/>
          <w:noProof/>
          <w:sz w:val="30"/>
          <w:szCs w:val="30"/>
        </w:rPr>
      </w:pPr>
      <w:bookmarkStart w:id="0" w:name="_GoBack"/>
      <w:bookmarkEnd w:id="0"/>
      <w:r>
        <w:rPr>
          <w:b/>
          <w:noProof/>
          <w:sz w:val="30"/>
          <w:szCs w:val="30"/>
        </w:rPr>
        <w:drawing>
          <wp:anchor distT="0" distB="0" distL="114300" distR="114300" simplePos="0" relativeHeight="251657728" behindDoc="1" locked="0" layoutInCell="1" allowOverlap="1">
            <wp:simplePos x="0" y="0"/>
            <wp:positionH relativeFrom="column">
              <wp:posOffset>234950</wp:posOffset>
            </wp:positionH>
            <wp:positionV relativeFrom="paragraph">
              <wp:posOffset>40640</wp:posOffset>
            </wp:positionV>
            <wp:extent cx="1695450" cy="2188845"/>
            <wp:effectExtent l="19050" t="0" r="0" b="0"/>
            <wp:wrapTight wrapText="bothSides">
              <wp:wrapPolygon edited="0">
                <wp:start x="-243" y="0"/>
                <wp:lineTo x="-243" y="21431"/>
                <wp:lineTo x="21600" y="21431"/>
                <wp:lineTo x="21600" y="0"/>
                <wp:lineTo x="-243" y="0"/>
              </wp:wrapPolygon>
            </wp:wrapTight>
            <wp:docPr id="2" name="Picture 0" descr="Peter Leibundgu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eter Leibundgut.bmp"/>
                    <pic:cNvPicPr>
                      <a:picLocks noChangeAspect="1" noChangeArrowheads="1"/>
                    </pic:cNvPicPr>
                  </pic:nvPicPr>
                  <pic:blipFill>
                    <a:blip r:embed="rId9" cstate="print"/>
                    <a:srcRect/>
                    <a:stretch>
                      <a:fillRect/>
                    </a:stretch>
                  </pic:blipFill>
                  <pic:spPr bwMode="auto">
                    <a:xfrm>
                      <a:off x="0" y="0"/>
                      <a:ext cx="1695450" cy="2188845"/>
                    </a:xfrm>
                    <a:prstGeom prst="rect">
                      <a:avLst/>
                    </a:prstGeom>
                    <a:noFill/>
                    <a:ln w="9525">
                      <a:noFill/>
                      <a:miter lim="800000"/>
                      <a:headEnd/>
                      <a:tailEnd/>
                    </a:ln>
                  </pic:spPr>
                </pic:pic>
              </a:graphicData>
            </a:graphic>
          </wp:anchor>
        </w:drawing>
      </w:r>
      <w:r w:rsidR="00737357">
        <w:rPr>
          <w:b/>
          <w:noProof/>
          <w:sz w:val="30"/>
          <w:szCs w:val="30"/>
        </w:rPr>
        <w:t>PETER W. LEIBUNDGUT</w:t>
      </w:r>
      <w:r w:rsidR="008C55FE">
        <w:rPr>
          <w:b/>
          <w:noProof/>
          <w:sz w:val="30"/>
          <w:szCs w:val="30"/>
        </w:rPr>
        <w:t>, Esq.</w:t>
      </w:r>
    </w:p>
    <w:p w:rsidR="000F4338" w:rsidRPr="000F4338" w:rsidRDefault="000F4338" w:rsidP="000F4338">
      <w:pPr>
        <w:spacing w:line="360" w:lineRule="auto"/>
        <w:ind w:left="360" w:right="-7" w:firstLine="360"/>
        <w:jc w:val="both"/>
        <w:rPr>
          <w:b/>
          <w:sz w:val="10"/>
          <w:szCs w:val="10"/>
        </w:rPr>
      </w:pPr>
    </w:p>
    <w:p w:rsidR="005B2021" w:rsidRDefault="000F4338" w:rsidP="00737357">
      <w:pPr>
        <w:spacing w:line="360" w:lineRule="auto"/>
        <w:ind w:left="360" w:right="-7"/>
        <w:jc w:val="both"/>
        <w:rPr>
          <w:sz w:val="24"/>
          <w:szCs w:val="24"/>
        </w:rPr>
      </w:pPr>
      <w:r w:rsidRPr="000176ED">
        <w:rPr>
          <w:sz w:val="24"/>
          <w:szCs w:val="24"/>
        </w:rPr>
        <w:t xml:space="preserve">Peter </w:t>
      </w:r>
      <w:r w:rsidR="00C211C1">
        <w:rPr>
          <w:sz w:val="24"/>
          <w:szCs w:val="24"/>
        </w:rPr>
        <w:t>Leibundgut has</w:t>
      </w:r>
      <w:r w:rsidRPr="000176ED">
        <w:rPr>
          <w:sz w:val="24"/>
          <w:szCs w:val="24"/>
        </w:rPr>
        <w:t xml:space="preserve"> </w:t>
      </w:r>
      <w:r w:rsidR="008C55FE">
        <w:rPr>
          <w:sz w:val="24"/>
          <w:szCs w:val="24"/>
        </w:rPr>
        <w:t>thirty</w:t>
      </w:r>
      <w:r w:rsidRPr="000176ED">
        <w:rPr>
          <w:sz w:val="24"/>
          <w:szCs w:val="24"/>
        </w:rPr>
        <w:t xml:space="preserve"> years of </w:t>
      </w:r>
      <w:r w:rsidR="008C55FE">
        <w:rPr>
          <w:sz w:val="24"/>
          <w:szCs w:val="24"/>
        </w:rPr>
        <w:t xml:space="preserve">transactional, public and private </w:t>
      </w:r>
      <w:r w:rsidR="00EC2286">
        <w:rPr>
          <w:sz w:val="24"/>
          <w:szCs w:val="24"/>
        </w:rPr>
        <w:t xml:space="preserve">commercial and </w:t>
      </w:r>
      <w:r w:rsidR="008C55FE">
        <w:rPr>
          <w:sz w:val="24"/>
          <w:szCs w:val="24"/>
        </w:rPr>
        <w:t>real estate finance,</w:t>
      </w:r>
      <w:r w:rsidRPr="000176ED">
        <w:rPr>
          <w:sz w:val="24"/>
          <w:szCs w:val="24"/>
        </w:rPr>
        <w:t xml:space="preserve"> legal and </w:t>
      </w:r>
      <w:r w:rsidR="00EC2286">
        <w:rPr>
          <w:sz w:val="24"/>
          <w:szCs w:val="24"/>
        </w:rPr>
        <w:t xml:space="preserve">bank </w:t>
      </w:r>
      <w:r w:rsidRPr="000176ED">
        <w:rPr>
          <w:sz w:val="24"/>
          <w:szCs w:val="24"/>
        </w:rPr>
        <w:t>consulting</w:t>
      </w:r>
      <w:r w:rsidR="008C55FE">
        <w:rPr>
          <w:sz w:val="24"/>
          <w:szCs w:val="24"/>
        </w:rPr>
        <w:t xml:space="preserve"> experience</w:t>
      </w:r>
      <w:r w:rsidR="00EC2286">
        <w:rPr>
          <w:sz w:val="24"/>
          <w:szCs w:val="24"/>
        </w:rPr>
        <w:t xml:space="preserve">. </w:t>
      </w:r>
      <w:r w:rsidR="00B17C34">
        <w:rPr>
          <w:sz w:val="24"/>
          <w:szCs w:val="24"/>
        </w:rPr>
        <w:t>H</w:t>
      </w:r>
      <w:r w:rsidR="00C211C1">
        <w:rPr>
          <w:sz w:val="24"/>
          <w:szCs w:val="24"/>
        </w:rPr>
        <w:t>e</w:t>
      </w:r>
      <w:r w:rsidR="00EC2286">
        <w:rPr>
          <w:sz w:val="24"/>
          <w:szCs w:val="24"/>
        </w:rPr>
        <w:t xml:space="preserve"> </w:t>
      </w:r>
      <w:r w:rsidR="007B58C1">
        <w:rPr>
          <w:sz w:val="24"/>
          <w:szCs w:val="24"/>
        </w:rPr>
        <w:t>currently</w:t>
      </w:r>
      <w:r w:rsidR="00090684">
        <w:rPr>
          <w:sz w:val="24"/>
          <w:szCs w:val="24"/>
        </w:rPr>
        <w:t xml:space="preserve"> provides a range of financial services to borrowers and domestic and foreign private and institutional investors in connection with structuring, placing and conducting due diligence in commercial and real estate financing transactions. He</w:t>
      </w:r>
      <w:r w:rsidR="007B58C1">
        <w:rPr>
          <w:sz w:val="24"/>
          <w:szCs w:val="24"/>
        </w:rPr>
        <w:t xml:space="preserve"> s</w:t>
      </w:r>
      <w:r w:rsidR="00EC2286">
        <w:rPr>
          <w:sz w:val="24"/>
          <w:szCs w:val="24"/>
        </w:rPr>
        <w:t>erve</w:t>
      </w:r>
      <w:r w:rsidR="007B58C1">
        <w:rPr>
          <w:sz w:val="24"/>
          <w:szCs w:val="24"/>
        </w:rPr>
        <w:t>s</w:t>
      </w:r>
      <w:r w:rsidR="00EC2286">
        <w:rPr>
          <w:sz w:val="24"/>
          <w:szCs w:val="24"/>
        </w:rPr>
        <w:t xml:space="preserve"> as an expert</w:t>
      </w:r>
      <w:r w:rsidR="00C211C1">
        <w:rPr>
          <w:sz w:val="24"/>
          <w:szCs w:val="24"/>
        </w:rPr>
        <w:t xml:space="preserve"> witness</w:t>
      </w:r>
      <w:r w:rsidR="00EC2286">
        <w:rPr>
          <w:sz w:val="24"/>
          <w:szCs w:val="24"/>
        </w:rPr>
        <w:t xml:space="preserve"> </w:t>
      </w:r>
      <w:r w:rsidR="007B58C1">
        <w:rPr>
          <w:sz w:val="24"/>
          <w:szCs w:val="24"/>
        </w:rPr>
        <w:t xml:space="preserve">and provides litigation support </w:t>
      </w:r>
      <w:r w:rsidR="00EC2286">
        <w:rPr>
          <w:sz w:val="24"/>
          <w:szCs w:val="24"/>
        </w:rPr>
        <w:t xml:space="preserve">in </w:t>
      </w:r>
      <w:r w:rsidR="007B58C1">
        <w:rPr>
          <w:sz w:val="24"/>
          <w:szCs w:val="24"/>
        </w:rPr>
        <w:t>cases involving</w:t>
      </w:r>
      <w:r w:rsidR="0058256B">
        <w:rPr>
          <w:sz w:val="24"/>
          <w:szCs w:val="24"/>
        </w:rPr>
        <w:t xml:space="preserve"> contract disputes and</w:t>
      </w:r>
      <w:r w:rsidR="007B58C1">
        <w:rPr>
          <w:sz w:val="24"/>
          <w:szCs w:val="24"/>
        </w:rPr>
        <w:t xml:space="preserve"> complex public and commercial</w:t>
      </w:r>
      <w:r w:rsidR="00EC2286">
        <w:rPr>
          <w:sz w:val="24"/>
          <w:szCs w:val="24"/>
        </w:rPr>
        <w:t xml:space="preserve"> </w:t>
      </w:r>
      <w:r w:rsidR="00C211C1">
        <w:rPr>
          <w:sz w:val="24"/>
          <w:szCs w:val="24"/>
        </w:rPr>
        <w:t>financ</w:t>
      </w:r>
      <w:r w:rsidR="007B58C1">
        <w:rPr>
          <w:sz w:val="24"/>
          <w:szCs w:val="24"/>
        </w:rPr>
        <w:t>e</w:t>
      </w:r>
      <w:r w:rsidR="00C211C1">
        <w:rPr>
          <w:sz w:val="24"/>
          <w:szCs w:val="24"/>
        </w:rPr>
        <w:t xml:space="preserve"> </w:t>
      </w:r>
      <w:r w:rsidR="0058256B">
        <w:rPr>
          <w:sz w:val="24"/>
          <w:szCs w:val="24"/>
        </w:rPr>
        <w:t>matters</w:t>
      </w:r>
      <w:r w:rsidR="007B58C1">
        <w:rPr>
          <w:sz w:val="24"/>
          <w:szCs w:val="24"/>
        </w:rPr>
        <w:t xml:space="preserve"> centering on debtor and creditor rights</w:t>
      </w:r>
      <w:r w:rsidR="00EC2286">
        <w:rPr>
          <w:sz w:val="24"/>
          <w:szCs w:val="24"/>
        </w:rPr>
        <w:t>.</w:t>
      </w:r>
      <w:r w:rsidR="000176ED">
        <w:rPr>
          <w:sz w:val="24"/>
          <w:szCs w:val="24"/>
        </w:rPr>
        <w:t xml:space="preserve"> </w:t>
      </w:r>
    </w:p>
    <w:p w:rsidR="005B2021" w:rsidRDefault="005B2021" w:rsidP="00737357">
      <w:pPr>
        <w:spacing w:line="360" w:lineRule="auto"/>
        <w:ind w:left="360" w:right="-7"/>
        <w:jc w:val="both"/>
        <w:rPr>
          <w:sz w:val="24"/>
          <w:szCs w:val="24"/>
        </w:rPr>
      </w:pPr>
      <w:r>
        <w:rPr>
          <w:sz w:val="24"/>
          <w:szCs w:val="24"/>
        </w:rPr>
        <w:t xml:space="preserve"> </w:t>
      </w:r>
      <w:r w:rsidR="00EC2286">
        <w:rPr>
          <w:sz w:val="24"/>
          <w:szCs w:val="24"/>
        </w:rPr>
        <w:t xml:space="preserve">    </w:t>
      </w:r>
      <w:r w:rsidR="00AE5801">
        <w:rPr>
          <w:sz w:val="24"/>
          <w:szCs w:val="24"/>
        </w:rPr>
        <w:t>Based upon his experience representing banks, finance companies, borrowers</w:t>
      </w:r>
      <w:r w:rsidR="00B9496C">
        <w:rPr>
          <w:sz w:val="24"/>
          <w:szCs w:val="24"/>
        </w:rPr>
        <w:t>, investors</w:t>
      </w:r>
      <w:r w:rsidR="00AE5801">
        <w:rPr>
          <w:sz w:val="24"/>
          <w:szCs w:val="24"/>
        </w:rPr>
        <w:t xml:space="preserve"> and public entities in conventional and innovative financings, </w:t>
      </w:r>
      <w:r w:rsidR="00C211C1">
        <w:rPr>
          <w:sz w:val="24"/>
          <w:szCs w:val="24"/>
        </w:rPr>
        <w:t>Peter</w:t>
      </w:r>
      <w:r w:rsidR="000176ED">
        <w:rPr>
          <w:sz w:val="24"/>
          <w:szCs w:val="24"/>
        </w:rPr>
        <w:t xml:space="preserve"> </w:t>
      </w:r>
      <w:r w:rsidR="000176ED" w:rsidRPr="000176ED">
        <w:rPr>
          <w:sz w:val="24"/>
          <w:szCs w:val="24"/>
        </w:rPr>
        <w:t>provides select</w:t>
      </w:r>
      <w:r w:rsidR="008C55FE">
        <w:rPr>
          <w:sz w:val="24"/>
          <w:szCs w:val="24"/>
        </w:rPr>
        <w:t xml:space="preserve"> </w:t>
      </w:r>
      <w:r w:rsidR="00AE5801">
        <w:rPr>
          <w:sz w:val="24"/>
          <w:szCs w:val="24"/>
        </w:rPr>
        <w:t xml:space="preserve">litigation support and </w:t>
      </w:r>
      <w:r w:rsidR="00EC2286">
        <w:rPr>
          <w:sz w:val="24"/>
          <w:szCs w:val="24"/>
        </w:rPr>
        <w:t>expert services in</w:t>
      </w:r>
      <w:r w:rsidR="00A251F9">
        <w:rPr>
          <w:sz w:val="24"/>
          <w:szCs w:val="24"/>
        </w:rPr>
        <w:t xml:space="preserve"> contract disputes, commercial and residential real estate,</w:t>
      </w:r>
      <w:r w:rsidR="00EC2286">
        <w:rPr>
          <w:sz w:val="24"/>
          <w:szCs w:val="24"/>
        </w:rPr>
        <w:t xml:space="preserve"> lender liability, </w:t>
      </w:r>
      <w:r w:rsidR="00CB21F5">
        <w:rPr>
          <w:sz w:val="24"/>
          <w:szCs w:val="24"/>
        </w:rPr>
        <w:t xml:space="preserve">legal malpractice, public finance, </w:t>
      </w:r>
      <w:r w:rsidR="00AE5801">
        <w:rPr>
          <w:sz w:val="24"/>
          <w:szCs w:val="24"/>
        </w:rPr>
        <w:t>complex lending and credit facilities, and</w:t>
      </w:r>
      <w:r w:rsidR="00EC2286">
        <w:rPr>
          <w:sz w:val="24"/>
          <w:szCs w:val="24"/>
        </w:rPr>
        <w:t xml:space="preserve"> </w:t>
      </w:r>
      <w:r w:rsidR="00C211C1">
        <w:rPr>
          <w:sz w:val="24"/>
          <w:szCs w:val="24"/>
        </w:rPr>
        <w:t xml:space="preserve">financial </w:t>
      </w:r>
      <w:r w:rsidR="00EC2286">
        <w:rPr>
          <w:sz w:val="24"/>
          <w:szCs w:val="24"/>
        </w:rPr>
        <w:t>fraud cases</w:t>
      </w:r>
      <w:r w:rsidR="00B17C34">
        <w:rPr>
          <w:sz w:val="24"/>
          <w:szCs w:val="24"/>
        </w:rPr>
        <w:t>.</w:t>
      </w:r>
      <w:r w:rsidR="00EC2286">
        <w:rPr>
          <w:sz w:val="24"/>
          <w:szCs w:val="24"/>
        </w:rPr>
        <w:t xml:space="preserve"> </w:t>
      </w:r>
      <w:r w:rsidR="000176ED" w:rsidRPr="000176ED">
        <w:rPr>
          <w:sz w:val="24"/>
          <w:szCs w:val="24"/>
        </w:rPr>
        <w:t xml:space="preserve"> </w:t>
      </w:r>
      <w:r>
        <w:rPr>
          <w:sz w:val="24"/>
          <w:szCs w:val="24"/>
        </w:rPr>
        <w:t>H</w:t>
      </w:r>
      <w:r w:rsidR="00267E98">
        <w:rPr>
          <w:sz w:val="24"/>
          <w:szCs w:val="24"/>
        </w:rPr>
        <w:t>is experience spans thirty years of due diligence, structuring, closing and restructuring public and commercial</w:t>
      </w:r>
      <w:r w:rsidR="005969FA">
        <w:rPr>
          <w:sz w:val="24"/>
          <w:szCs w:val="24"/>
        </w:rPr>
        <w:t xml:space="preserve"> financial transactions on behalf of lenders; county, state and federal authorities and issuers; underwriters; finance companies; private equity and hedge fund investors; and borrowers.  </w:t>
      </w:r>
      <w:r w:rsidR="00B17C34">
        <w:rPr>
          <w:sz w:val="24"/>
          <w:szCs w:val="24"/>
        </w:rPr>
        <w:t>Most recently, over</w:t>
      </w:r>
      <w:r w:rsidR="005969FA">
        <w:rPr>
          <w:sz w:val="24"/>
          <w:szCs w:val="24"/>
        </w:rPr>
        <w:t xml:space="preserve"> the last </w:t>
      </w:r>
      <w:r w:rsidR="00090684">
        <w:rPr>
          <w:sz w:val="24"/>
          <w:szCs w:val="24"/>
        </w:rPr>
        <w:t>eight</w:t>
      </w:r>
      <w:r w:rsidR="005969FA">
        <w:rPr>
          <w:sz w:val="24"/>
          <w:szCs w:val="24"/>
        </w:rPr>
        <w:t xml:space="preserve"> years</w:t>
      </w:r>
      <w:r w:rsidR="00B17C34">
        <w:rPr>
          <w:sz w:val="24"/>
          <w:szCs w:val="24"/>
        </w:rPr>
        <w:t>, he has provided</w:t>
      </w:r>
      <w:r w:rsidR="005969FA">
        <w:rPr>
          <w:sz w:val="24"/>
          <w:szCs w:val="24"/>
        </w:rPr>
        <w:t xml:space="preserve"> advisory and consulting services to </w:t>
      </w:r>
      <w:r w:rsidR="00090684">
        <w:rPr>
          <w:sz w:val="24"/>
          <w:szCs w:val="24"/>
        </w:rPr>
        <w:t xml:space="preserve">companies, EB-5 Regional Centers, </w:t>
      </w:r>
      <w:r w:rsidR="005969FA">
        <w:rPr>
          <w:sz w:val="24"/>
          <w:szCs w:val="24"/>
        </w:rPr>
        <w:t xml:space="preserve">financial institutions, state banking regulators and the federal government in emerging credit </w:t>
      </w:r>
      <w:r w:rsidR="00903A9B" w:rsidRPr="000176ED">
        <w:rPr>
          <w:sz w:val="24"/>
          <w:szCs w:val="24"/>
        </w:rPr>
        <w:t>risk managemen</w:t>
      </w:r>
      <w:r w:rsidR="00D81519">
        <w:rPr>
          <w:sz w:val="24"/>
          <w:szCs w:val="24"/>
        </w:rPr>
        <w:t>t techniques</w:t>
      </w:r>
      <w:r w:rsidR="00B17C34">
        <w:rPr>
          <w:sz w:val="24"/>
          <w:szCs w:val="24"/>
        </w:rPr>
        <w:t>,</w:t>
      </w:r>
      <w:r w:rsidR="00CA0097">
        <w:rPr>
          <w:sz w:val="24"/>
          <w:szCs w:val="24"/>
        </w:rPr>
        <w:t xml:space="preserve"> developing “best practice” underwriting and due diligence guidelines and oversight procedures,</w:t>
      </w:r>
      <w:r w:rsidR="00903A9B" w:rsidRPr="000176ED">
        <w:rPr>
          <w:sz w:val="24"/>
          <w:szCs w:val="24"/>
        </w:rPr>
        <w:t xml:space="preserve"> bank mergers and acquisitions</w:t>
      </w:r>
      <w:r w:rsidR="00B17C34">
        <w:rPr>
          <w:sz w:val="24"/>
          <w:szCs w:val="24"/>
        </w:rPr>
        <w:t>,</w:t>
      </w:r>
      <w:r w:rsidR="00903A9B" w:rsidRPr="000176ED">
        <w:rPr>
          <w:sz w:val="24"/>
          <w:szCs w:val="24"/>
        </w:rPr>
        <w:t xml:space="preserve"> special assets and work-out</w:t>
      </w:r>
      <w:r w:rsidR="00B17C34">
        <w:rPr>
          <w:sz w:val="24"/>
          <w:szCs w:val="24"/>
        </w:rPr>
        <w:t>s</w:t>
      </w:r>
      <w:r w:rsidR="00903A9B" w:rsidRPr="000176ED">
        <w:rPr>
          <w:sz w:val="24"/>
          <w:szCs w:val="24"/>
        </w:rPr>
        <w:t xml:space="preserve">, and developing regulatory compliant commercial lending policies, </w:t>
      </w:r>
      <w:r w:rsidR="00B17C34">
        <w:rPr>
          <w:sz w:val="24"/>
          <w:szCs w:val="24"/>
        </w:rPr>
        <w:t xml:space="preserve">processes and </w:t>
      </w:r>
      <w:r w:rsidR="00903A9B" w:rsidRPr="000176ED">
        <w:rPr>
          <w:sz w:val="24"/>
          <w:szCs w:val="24"/>
        </w:rPr>
        <w:t>procedures</w:t>
      </w:r>
      <w:r w:rsidR="005969FA">
        <w:rPr>
          <w:sz w:val="24"/>
          <w:szCs w:val="24"/>
        </w:rPr>
        <w:t xml:space="preserve"> to </w:t>
      </w:r>
      <w:r w:rsidR="00B17C34">
        <w:rPr>
          <w:sz w:val="24"/>
          <w:szCs w:val="24"/>
        </w:rPr>
        <w:t>meet</w:t>
      </w:r>
      <w:r w:rsidR="005969FA">
        <w:rPr>
          <w:sz w:val="24"/>
          <w:szCs w:val="24"/>
        </w:rPr>
        <w:t xml:space="preserve"> financial crisis</w:t>
      </w:r>
      <w:r w:rsidR="00B17C34">
        <w:rPr>
          <w:sz w:val="24"/>
          <w:szCs w:val="24"/>
        </w:rPr>
        <w:t xml:space="preserve"> concerns</w:t>
      </w:r>
      <w:r w:rsidR="005969FA">
        <w:rPr>
          <w:sz w:val="24"/>
          <w:szCs w:val="24"/>
        </w:rPr>
        <w:t xml:space="preserve"> and  emerging laws and regulations</w:t>
      </w:r>
      <w:r w:rsidR="00903A9B" w:rsidRPr="000176ED">
        <w:rPr>
          <w:sz w:val="24"/>
          <w:szCs w:val="24"/>
        </w:rPr>
        <w:t xml:space="preserve">. </w:t>
      </w:r>
    </w:p>
    <w:p w:rsidR="000F4338" w:rsidRPr="000176ED" w:rsidRDefault="00E274C6" w:rsidP="00737357">
      <w:pPr>
        <w:spacing w:line="360" w:lineRule="auto"/>
        <w:ind w:left="360" w:right="-7" w:firstLine="360"/>
        <w:jc w:val="both"/>
        <w:rPr>
          <w:sz w:val="24"/>
          <w:szCs w:val="24"/>
        </w:rPr>
      </w:pPr>
      <w:r>
        <w:rPr>
          <w:sz w:val="24"/>
          <w:szCs w:val="24"/>
        </w:rPr>
        <w:t>He</w:t>
      </w:r>
      <w:r w:rsidR="00EC2286">
        <w:rPr>
          <w:sz w:val="24"/>
          <w:szCs w:val="24"/>
        </w:rPr>
        <w:t xml:space="preserve"> has served as an expert in</w:t>
      </w:r>
      <w:r w:rsidR="000F4338" w:rsidRPr="000176ED">
        <w:rPr>
          <w:sz w:val="24"/>
          <w:szCs w:val="24"/>
        </w:rPr>
        <w:t xml:space="preserve"> </w:t>
      </w:r>
      <w:r w:rsidR="00CC2139">
        <w:rPr>
          <w:sz w:val="24"/>
          <w:szCs w:val="24"/>
        </w:rPr>
        <w:t>cases involving</w:t>
      </w:r>
      <w:r w:rsidR="000F4338" w:rsidRPr="000176ED">
        <w:rPr>
          <w:sz w:val="24"/>
          <w:szCs w:val="24"/>
        </w:rPr>
        <w:t xml:space="preserve"> </w:t>
      </w:r>
      <w:r w:rsidR="00903A9B" w:rsidRPr="000176ED">
        <w:rPr>
          <w:sz w:val="24"/>
          <w:szCs w:val="24"/>
        </w:rPr>
        <w:t>lender liability</w:t>
      </w:r>
      <w:r w:rsidR="00B17C34">
        <w:rPr>
          <w:sz w:val="24"/>
          <w:szCs w:val="24"/>
        </w:rPr>
        <w:t>,</w:t>
      </w:r>
      <w:r w:rsidR="00CC2139">
        <w:rPr>
          <w:sz w:val="24"/>
          <w:szCs w:val="24"/>
        </w:rPr>
        <w:t xml:space="preserve"> </w:t>
      </w:r>
      <w:r w:rsidR="0095450E">
        <w:rPr>
          <w:sz w:val="24"/>
          <w:szCs w:val="24"/>
        </w:rPr>
        <w:t xml:space="preserve">legal malpractice, </w:t>
      </w:r>
      <w:r w:rsidR="00B9496C">
        <w:rPr>
          <w:sz w:val="24"/>
          <w:szCs w:val="24"/>
        </w:rPr>
        <w:t>complex public</w:t>
      </w:r>
      <w:r w:rsidR="00AE5801">
        <w:rPr>
          <w:sz w:val="24"/>
          <w:szCs w:val="24"/>
        </w:rPr>
        <w:t xml:space="preserve"> and commercial lending</w:t>
      </w:r>
      <w:r w:rsidR="007B58C1">
        <w:rPr>
          <w:sz w:val="24"/>
          <w:szCs w:val="24"/>
        </w:rPr>
        <w:t xml:space="preserve"> and leasing</w:t>
      </w:r>
      <w:r w:rsidR="008C3050">
        <w:rPr>
          <w:sz w:val="24"/>
          <w:szCs w:val="24"/>
        </w:rPr>
        <w:t xml:space="preserve"> transactions</w:t>
      </w:r>
      <w:r w:rsidR="00B17C34">
        <w:rPr>
          <w:sz w:val="24"/>
          <w:szCs w:val="24"/>
        </w:rPr>
        <w:t>,</w:t>
      </w:r>
      <w:r w:rsidR="00CC2139">
        <w:rPr>
          <w:sz w:val="24"/>
          <w:szCs w:val="24"/>
        </w:rPr>
        <w:t xml:space="preserve"> </w:t>
      </w:r>
      <w:r w:rsidR="00903A9B" w:rsidRPr="000176ED">
        <w:rPr>
          <w:sz w:val="24"/>
          <w:szCs w:val="24"/>
        </w:rPr>
        <w:t xml:space="preserve">Whole Bank Acquisitions </w:t>
      </w:r>
      <w:r w:rsidR="008C3050">
        <w:rPr>
          <w:sz w:val="24"/>
          <w:szCs w:val="24"/>
        </w:rPr>
        <w:t xml:space="preserve">and </w:t>
      </w:r>
      <w:r w:rsidR="00903A9B" w:rsidRPr="000176ED">
        <w:rPr>
          <w:sz w:val="24"/>
          <w:szCs w:val="24"/>
        </w:rPr>
        <w:t xml:space="preserve">Shared-Loss </w:t>
      </w:r>
      <w:r w:rsidR="00EC2286">
        <w:rPr>
          <w:sz w:val="24"/>
          <w:szCs w:val="24"/>
        </w:rPr>
        <w:t>matters</w:t>
      </w:r>
      <w:r w:rsidR="00B17C34">
        <w:rPr>
          <w:sz w:val="24"/>
          <w:szCs w:val="24"/>
        </w:rPr>
        <w:t>,</w:t>
      </w:r>
      <w:r w:rsidR="00D81519">
        <w:rPr>
          <w:sz w:val="24"/>
          <w:szCs w:val="24"/>
        </w:rPr>
        <w:t xml:space="preserve"> fraud</w:t>
      </w:r>
      <w:r w:rsidR="00CC2139">
        <w:rPr>
          <w:sz w:val="24"/>
          <w:szCs w:val="24"/>
        </w:rPr>
        <w:t xml:space="preserve"> and gross negligence</w:t>
      </w:r>
      <w:r w:rsidR="00B17C34">
        <w:rPr>
          <w:sz w:val="24"/>
          <w:szCs w:val="24"/>
        </w:rPr>
        <w:t>,</w:t>
      </w:r>
      <w:r w:rsidR="00903A9B" w:rsidRPr="000176ED">
        <w:rPr>
          <w:sz w:val="24"/>
          <w:szCs w:val="24"/>
        </w:rPr>
        <w:t xml:space="preserve"> and other matters requiring niche lending</w:t>
      </w:r>
      <w:r w:rsidR="0058256B">
        <w:rPr>
          <w:sz w:val="24"/>
          <w:szCs w:val="24"/>
        </w:rPr>
        <w:t xml:space="preserve"> and contract </w:t>
      </w:r>
      <w:r w:rsidR="00903A9B" w:rsidRPr="000176ED">
        <w:rPr>
          <w:sz w:val="24"/>
          <w:szCs w:val="24"/>
        </w:rPr>
        <w:t>expertise.</w:t>
      </w:r>
      <w:r w:rsidR="005B2021">
        <w:rPr>
          <w:sz w:val="24"/>
          <w:szCs w:val="24"/>
        </w:rPr>
        <w:t xml:space="preserve">  </w:t>
      </w:r>
      <w:r w:rsidR="00CA0097">
        <w:rPr>
          <w:sz w:val="24"/>
          <w:szCs w:val="24"/>
        </w:rPr>
        <w:t xml:space="preserve">Three of these cases were nationally recognized and several were cases of first impression. </w:t>
      </w:r>
      <w:r w:rsidR="005B2021">
        <w:rPr>
          <w:sz w:val="24"/>
          <w:szCs w:val="24"/>
        </w:rPr>
        <w:t>He</w:t>
      </w:r>
      <w:r w:rsidR="00CA0097">
        <w:rPr>
          <w:sz w:val="24"/>
          <w:szCs w:val="24"/>
        </w:rPr>
        <w:t xml:space="preserve"> </w:t>
      </w:r>
      <w:r w:rsidR="00903A9B" w:rsidRPr="000176ED">
        <w:rPr>
          <w:sz w:val="24"/>
          <w:szCs w:val="24"/>
        </w:rPr>
        <w:t>has</w:t>
      </w:r>
      <w:r w:rsidR="005B2021">
        <w:rPr>
          <w:sz w:val="24"/>
          <w:szCs w:val="24"/>
        </w:rPr>
        <w:t xml:space="preserve"> </w:t>
      </w:r>
      <w:r w:rsidR="00903A9B" w:rsidRPr="000176ED">
        <w:rPr>
          <w:sz w:val="24"/>
          <w:szCs w:val="24"/>
        </w:rPr>
        <w:t xml:space="preserve">represented the FDIC in forensic commercial loan review </w:t>
      </w:r>
      <w:r w:rsidR="00903A9B" w:rsidRPr="000176ED">
        <w:rPr>
          <w:sz w:val="24"/>
          <w:szCs w:val="24"/>
        </w:rPr>
        <w:lastRenderedPageBreak/>
        <w:t xml:space="preserve">and assisted bank </w:t>
      </w:r>
      <w:r w:rsidR="00CA0097">
        <w:rPr>
          <w:sz w:val="24"/>
          <w:szCs w:val="24"/>
        </w:rPr>
        <w:t xml:space="preserve">and loan portfolio </w:t>
      </w:r>
      <w:r w:rsidR="00903A9B" w:rsidRPr="000176ED">
        <w:rPr>
          <w:sz w:val="24"/>
          <w:szCs w:val="24"/>
        </w:rPr>
        <w:t xml:space="preserve">sales </w:t>
      </w:r>
      <w:r w:rsidR="00CA0097">
        <w:rPr>
          <w:sz w:val="24"/>
          <w:szCs w:val="24"/>
        </w:rPr>
        <w:t xml:space="preserve">including </w:t>
      </w:r>
      <w:r w:rsidR="00903A9B" w:rsidRPr="000176ED">
        <w:rPr>
          <w:sz w:val="24"/>
          <w:szCs w:val="24"/>
        </w:rPr>
        <w:t xml:space="preserve">under the Purchase and Assumption and Shared-Loss programs.  </w:t>
      </w:r>
    </w:p>
    <w:p w:rsidR="00903A9B" w:rsidRPr="000176ED" w:rsidRDefault="00B17C34" w:rsidP="00737357">
      <w:pPr>
        <w:spacing w:line="360" w:lineRule="auto"/>
        <w:ind w:left="360" w:right="-7" w:firstLine="360"/>
        <w:jc w:val="both"/>
        <w:rPr>
          <w:sz w:val="24"/>
          <w:szCs w:val="24"/>
        </w:rPr>
      </w:pPr>
      <w:r>
        <w:rPr>
          <w:sz w:val="24"/>
          <w:szCs w:val="24"/>
        </w:rPr>
        <w:t>Peter</w:t>
      </w:r>
      <w:r w:rsidR="00EC2286">
        <w:rPr>
          <w:sz w:val="24"/>
          <w:szCs w:val="24"/>
        </w:rPr>
        <w:t xml:space="preserve"> </w:t>
      </w:r>
      <w:r w:rsidR="00116A97">
        <w:rPr>
          <w:sz w:val="24"/>
          <w:szCs w:val="24"/>
        </w:rPr>
        <w:t>has also acted as an interim executive of several companies involved in turn- arounds including</w:t>
      </w:r>
      <w:r w:rsidR="00EC2286">
        <w:rPr>
          <w:sz w:val="24"/>
          <w:szCs w:val="24"/>
        </w:rPr>
        <w:t xml:space="preserve"> </w:t>
      </w:r>
      <w:r w:rsidR="00116A97">
        <w:rPr>
          <w:sz w:val="24"/>
          <w:szCs w:val="24"/>
        </w:rPr>
        <w:t>most recently,</w:t>
      </w:r>
      <w:r w:rsidR="00E00077">
        <w:rPr>
          <w:sz w:val="24"/>
          <w:szCs w:val="24"/>
        </w:rPr>
        <w:t xml:space="preserve"> </w:t>
      </w:r>
      <w:r w:rsidR="00090684">
        <w:rPr>
          <w:sz w:val="24"/>
          <w:szCs w:val="24"/>
        </w:rPr>
        <w:t xml:space="preserve">a </w:t>
      </w:r>
      <w:r w:rsidR="00E00077">
        <w:rPr>
          <w:sz w:val="24"/>
          <w:szCs w:val="24"/>
        </w:rPr>
        <w:t>real estate development company founded in 1988</w:t>
      </w:r>
      <w:r w:rsidR="00090684">
        <w:rPr>
          <w:sz w:val="24"/>
          <w:szCs w:val="24"/>
        </w:rPr>
        <w:t>.</w:t>
      </w:r>
      <w:r w:rsidR="00903A9B" w:rsidRPr="000176ED">
        <w:rPr>
          <w:sz w:val="24"/>
          <w:szCs w:val="24"/>
        </w:rPr>
        <w:t xml:space="preserve"> </w:t>
      </w:r>
      <w:r w:rsidR="00116A97">
        <w:rPr>
          <w:sz w:val="24"/>
          <w:szCs w:val="24"/>
        </w:rPr>
        <w:t xml:space="preserve">Peter </w:t>
      </w:r>
      <w:r w:rsidR="00090684">
        <w:rPr>
          <w:sz w:val="24"/>
          <w:szCs w:val="24"/>
        </w:rPr>
        <w:t>has assisted a number of companies</w:t>
      </w:r>
      <w:r w:rsidR="00116A97">
        <w:rPr>
          <w:sz w:val="24"/>
          <w:szCs w:val="24"/>
        </w:rPr>
        <w:t xml:space="preserve"> financing efforts off-shore and domestically </w:t>
      </w:r>
      <w:r w:rsidR="00090684">
        <w:rPr>
          <w:sz w:val="24"/>
          <w:szCs w:val="24"/>
        </w:rPr>
        <w:t>including the</w:t>
      </w:r>
      <w:r w:rsidR="00116A97">
        <w:rPr>
          <w:sz w:val="24"/>
          <w:szCs w:val="24"/>
        </w:rPr>
        <w:t xml:space="preserve"> capital raising efforts </w:t>
      </w:r>
      <w:r w:rsidR="00090684">
        <w:rPr>
          <w:sz w:val="24"/>
          <w:szCs w:val="24"/>
        </w:rPr>
        <w:t>of</w:t>
      </w:r>
      <w:r w:rsidR="00E00077">
        <w:rPr>
          <w:sz w:val="24"/>
          <w:szCs w:val="24"/>
        </w:rPr>
        <w:t xml:space="preserve"> approved EB5 Regional center</w:t>
      </w:r>
      <w:r w:rsidR="00090684">
        <w:rPr>
          <w:sz w:val="24"/>
          <w:szCs w:val="24"/>
        </w:rPr>
        <w:t>s.  Previously, he was</w:t>
      </w:r>
      <w:r w:rsidR="00E13889">
        <w:rPr>
          <w:sz w:val="24"/>
          <w:szCs w:val="24"/>
        </w:rPr>
        <w:t xml:space="preserve"> a </w:t>
      </w:r>
      <w:r w:rsidR="00D81519">
        <w:rPr>
          <w:sz w:val="24"/>
          <w:szCs w:val="24"/>
        </w:rPr>
        <w:t>Senior Vice President of Risk Management for Ardmore Banking Advisors, Inc.,</w:t>
      </w:r>
      <w:r w:rsidR="00903A9B" w:rsidRPr="000176ED">
        <w:rPr>
          <w:sz w:val="24"/>
          <w:szCs w:val="24"/>
        </w:rPr>
        <w:t xml:space="preserve"> a Managing Director of Integrated Compliance Solutions, LLC, and a founding member and principal of one of its subsidiaries, Precision Loan Solutions, LLC</w:t>
      </w:r>
      <w:r w:rsidR="007A44CE" w:rsidRPr="000176ED">
        <w:rPr>
          <w:sz w:val="24"/>
          <w:szCs w:val="24"/>
        </w:rPr>
        <w:t xml:space="preserve">. </w:t>
      </w:r>
      <w:r>
        <w:rPr>
          <w:sz w:val="24"/>
          <w:szCs w:val="24"/>
        </w:rPr>
        <w:t>He practiced law for</w:t>
      </w:r>
      <w:r w:rsidR="00903A9B" w:rsidRPr="000176ED">
        <w:rPr>
          <w:sz w:val="24"/>
          <w:szCs w:val="24"/>
        </w:rPr>
        <w:t xml:space="preserve"> over 25 years</w:t>
      </w:r>
      <w:r>
        <w:rPr>
          <w:sz w:val="24"/>
          <w:szCs w:val="24"/>
        </w:rPr>
        <w:t xml:space="preserve"> for</w:t>
      </w:r>
      <w:r w:rsidR="00165D32" w:rsidRPr="000176ED">
        <w:rPr>
          <w:sz w:val="24"/>
          <w:szCs w:val="24"/>
        </w:rPr>
        <w:t xml:space="preserve"> a number </w:t>
      </w:r>
      <w:r w:rsidR="008C3050" w:rsidRPr="000176ED">
        <w:rPr>
          <w:sz w:val="24"/>
          <w:szCs w:val="24"/>
        </w:rPr>
        <w:t xml:space="preserve">of </w:t>
      </w:r>
      <w:r w:rsidR="008C3050">
        <w:rPr>
          <w:sz w:val="24"/>
          <w:szCs w:val="24"/>
        </w:rPr>
        <w:t>law</w:t>
      </w:r>
      <w:r w:rsidR="00D81519">
        <w:rPr>
          <w:sz w:val="24"/>
          <w:szCs w:val="24"/>
        </w:rPr>
        <w:t xml:space="preserve"> firms including Blank Rome</w:t>
      </w:r>
      <w:r>
        <w:rPr>
          <w:sz w:val="24"/>
          <w:szCs w:val="24"/>
        </w:rPr>
        <w:t>, LLP</w:t>
      </w:r>
      <w:r w:rsidR="00D81519">
        <w:rPr>
          <w:sz w:val="24"/>
          <w:szCs w:val="24"/>
        </w:rPr>
        <w:t xml:space="preserve"> and Ballard Spahr</w:t>
      </w:r>
      <w:r>
        <w:rPr>
          <w:sz w:val="24"/>
          <w:szCs w:val="24"/>
        </w:rPr>
        <w:t>, LLP</w:t>
      </w:r>
      <w:r w:rsidR="00D81519">
        <w:rPr>
          <w:sz w:val="24"/>
          <w:szCs w:val="24"/>
        </w:rPr>
        <w:t>.</w:t>
      </w:r>
      <w:r w:rsidR="00165D32" w:rsidRPr="000176ED">
        <w:rPr>
          <w:sz w:val="24"/>
          <w:szCs w:val="24"/>
        </w:rPr>
        <w:t xml:space="preserve">  </w:t>
      </w:r>
    </w:p>
    <w:p w:rsidR="00737357" w:rsidRDefault="007A44CE" w:rsidP="00737357">
      <w:pPr>
        <w:spacing w:line="360" w:lineRule="auto"/>
        <w:ind w:left="360" w:right="-7" w:firstLine="360"/>
        <w:jc w:val="both"/>
        <w:rPr>
          <w:sz w:val="24"/>
          <w:szCs w:val="24"/>
        </w:rPr>
      </w:pPr>
      <w:r w:rsidRPr="000176ED">
        <w:rPr>
          <w:sz w:val="24"/>
          <w:szCs w:val="24"/>
        </w:rPr>
        <w:t xml:space="preserve">A graduate of Dickinson College and Vermont Law School, Mr. Leibundgut </w:t>
      </w:r>
      <w:r w:rsidR="009E43A1">
        <w:rPr>
          <w:sz w:val="24"/>
          <w:szCs w:val="24"/>
        </w:rPr>
        <w:t>was</w:t>
      </w:r>
      <w:r w:rsidR="000176ED" w:rsidRPr="000176ED">
        <w:rPr>
          <w:sz w:val="24"/>
          <w:szCs w:val="24"/>
        </w:rPr>
        <w:t xml:space="preserve"> admitted to the</w:t>
      </w:r>
      <w:r w:rsidRPr="000176ED">
        <w:rPr>
          <w:sz w:val="24"/>
          <w:szCs w:val="24"/>
        </w:rPr>
        <w:t xml:space="preserve"> Ne</w:t>
      </w:r>
      <w:r w:rsidR="000176ED" w:rsidRPr="000176ED">
        <w:rPr>
          <w:sz w:val="24"/>
          <w:szCs w:val="24"/>
        </w:rPr>
        <w:t xml:space="preserve">w York and New Jersey </w:t>
      </w:r>
      <w:r w:rsidR="008C3050">
        <w:rPr>
          <w:sz w:val="24"/>
          <w:szCs w:val="24"/>
        </w:rPr>
        <w:t>s</w:t>
      </w:r>
      <w:r w:rsidR="000176ED" w:rsidRPr="000176ED">
        <w:rPr>
          <w:sz w:val="24"/>
          <w:szCs w:val="24"/>
        </w:rPr>
        <w:t xml:space="preserve">tate </w:t>
      </w:r>
      <w:r w:rsidR="008C3050">
        <w:rPr>
          <w:sz w:val="24"/>
          <w:szCs w:val="24"/>
        </w:rPr>
        <w:t>b</w:t>
      </w:r>
      <w:r w:rsidR="000176ED" w:rsidRPr="000176ED">
        <w:rPr>
          <w:sz w:val="24"/>
          <w:szCs w:val="24"/>
        </w:rPr>
        <w:t>ars</w:t>
      </w:r>
      <w:r w:rsidR="00B17C34">
        <w:rPr>
          <w:sz w:val="24"/>
          <w:szCs w:val="24"/>
        </w:rPr>
        <w:t>. He is</w:t>
      </w:r>
      <w:r w:rsidR="009E43A1">
        <w:rPr>
          <w:sz w:val="24"/>
          <w:szCs w:val="24"/>
        </w:rPr>
        <w:t xml:space="preserve"> or has been</w:t>
      </w:r>
      <w:r w:rsidR="00B17C34">
        <w:rPr>
          <w:sz w:val="24"/>
          <w:szCs w:val="24"/>
        </w:rPr>
        <w:t xml:space="preserve"> a member </w:t>
      </w:r>
      <w:r w:rsidR="008C3050">
        <w:rPr>
          <w:sz w:val="24"/>
          <w:szCs w:val="24"/>
        </w:rPr>
        <w:t>of the</w:t>
      </w:r>
      <w:r w:rsidR="00B17C34">
        <w:rPr>
          <w:sz w:val="24"/>
          <w:szCs w:val="24"/>
        </w:rPr>
        <w:t xml:space="preserve"> National Association of </w:t>
      </w:r>
      <w:r w:rsidR="008C3050">
        <w:rPr>
          <w:sz w:val="24"/>
          <w:szCs w:val="24"/>
        </w:rPr>
        <w:t xml:space="preserve">Industrial and Office Parks, Turn Around Management Association, Association of Commercial Finance Attorneys, </w:t>
      </w:r>
      <w:r w:rsidR="00E00077">
        <w:rPr>
          <w:sz w:val="24"/>
          <w:szCs w:val="24"/>
        </w:rPr>
        <w:t xml:space="preserve">NAIOP Commercial Real Estate Development Association, </w:t>
      </w:r>
      <w:r w:rsidR="008C3050">
        <w:rPr>
          <w:sz w:val="24"/>
          <w:szCs w:val="24"/>
        </w:rPr>
        <w:t>Commercial Finance Association, Association of Corporate Growth, Risk Management Association,</w:t>
      </w:r>
      <w:r w:rsidR="000176ED" w:rsidRPr="000176ED">
        <w:rPr>
          <w:sz w:val="24"/>
          <w:szCs w:val="24"/>
        </w:rPr>
        <w:t xml:space="preserve"> </w:t>
      </w:r>
      <w:r w:rsidR="008C3050">
        <w:rPr>
          <w:sz w:val="24"/>
          <w:szCs w:val="24"/>
        </w:rPr>
        <w:t>New Jersey Bankers Association</w:t>
      </w:r>
      <w:r w:rsidR="009E43A1">
        <w:rPr>
          <w:sz w:val="24"/>
          <w:szCs w:val="24"/>
        </w:rPr>
        <w:t>, and Southern New Jersey Development Counsel</w:t>
      </w:r>
      <w:r w:rsidR="000176ED" w:rsidRPr="000176ED">
        <w:rPr>
          <w:sz w:val="24"/>
          <w:szCs w:val="24"/>
        </w:rPr>
        <w:t xml:space="preserve">.  </w:t>
      </w:r>
    </w:p>
    <w:p w:rsidR="009E43A1" w:rsidRDefault="00737357" w:rsidP="000176ED">
      <w:pPr>
        <w:spacing w:line="360" w:lineRule="auto"/>
        <w:ind w:left="360" w:right="-7" w:firstLine="360"/>
        <w:jc w:val="both"/>
        <w:rPr>
          <w:sz w:val="24"/>
          <w:szCs w:val="24"/>
        </w:rPr>
      </w:pPr>
      <w:r>
        <w:rPr>
          <w:sz w:val="24"/>
          <w:szCs w:val="24"/>
        </w:rPr>
        <w:t>Peter</w:t>
      </w:r>
      <w:r w:rsidR="00B17C34">
        <w:rPr>
          <w:sz w:val="24"/>
          <w:szCs w:val="24"/>
        </w:rPr>
        <w:t xml:space="preserve"> Leibundgut</w:t>
      </w:r>
      <w:r w:rsidR="000176ED" w:rsidRPr="000176ED">
        <w:rPr>
          <w:sz w:val="24"/>
          <w:szCs w:val="24"/>
        </w:rPr>
        <w:t xml:space="preserve"> has lectured </w:t>
      </w:r>
      <w:r w:rsidR="00B17C34">
        <w:rPr>
          <w:sz w:val="24"/>
          <w:szCs w:val="24"/>
        </w:rPr>
        <w:t xml:space="preserve">and taught </w:t>
      </w:r>
      <w:r w:rsidR="000176ED" w:rsidRPr="000176ED">
        <w:rPr>
          <w:sz w:val="24"/>
          <w:szCs w:val="24"/>
        </w:rPr>
        <w:t>on a variety of topics, including lender liability</w:t>
      </w:r>
      <w:r w:rsidR="008D3933">
        <w:rPr>
          <w:sz w:val="24"/>
          <w:szCs w:val="24"/>
        </w:rPr>
        <w:t>;</w:t>
      </w:r>
      <w:r w:rsidR="000176ED" w:rsidRPr="000176ED">
        <w:rPr>
          <w:sz w:val="24"/>
          <w:szCs w:val="24"/>
        </w:rPr>
        <w:t xml:space="preserve"> cross-border transactions</w:t>
      </w:r>
      <w:r w:rsidR="008D3933">
        <w:rPr>
          <w:sz w:val="24"/>
          <w:szCs w:val="24"/>
        </w:rPr>
        <w:t>;</w:t>
      </w:r>
      <w:r w:rsidR="000176ED" w:rsidRPr="000176ED">
        <w:rPr>
          <w:sz w:val="24"/>
          <w:szCs w:val="24"/>
        </w:rPr>
        <w:t xml:space="preserve"> Sarbanes Oxley/FASB</w:t>
      </w:r>
      <w:r w:rsidR="008D3933">
        <w:rPr>
          <w:sz w:val="24"/>
          <w:szCs w:val="24"/>
        </w:rPr>
        <w:t>; Equipment Leasing; Factoring; Asset Based Lending;</w:t>
      </w:r>
      <w:r w:rsidR="00D81519">
        <w:rPr>
          <w:sz w:val="24"/>
          <w:szCs w:val="24"/>
        </w:rPr>
        <w:t xml:space="preserve"> Ship Mortgages and finance</w:t>
      </w:r>
      <w:r w:rsidR="008D3933">
        <w:rPr>
          <w:sz w:val="24"/>
          <w:szCs w:val="24"/>
        </w:rPr>
        <w:t>;</w:t>
      </w:r>
      <w:r w:rsidR="00D81519">
        <w:rPr>
          <w:sz w:val="24"/>
          <w:szCs w:val="24"/>
        </w:rPr>
        <w:t xml:space="preserve"> real estate developmen</w:t>
      </w:r>
      <w:r w:rsidR="008D3933">
        <w:rPr>
          <w:sz w:val="24"/>
          <w:szCs w:val="24"/>
        </w:rPr>
        <w:t>t</w:t>
      </w:r>
      <w:r w:rsidR="00D81519">
        <w:rPr>
          <w:sz w:val="24"/>
          <w:szCs w:val="24"/>
        </w:rPr>
        <w:t>, special assets</w:t>
      </w:r>
      <w:r w:rsidR="008D3933">
        <w:rPr>
          <w:sz w:val="24"/>
          <w:szCs w:val="24"/>
        </w:rPr>
        <w:t xml:space="preserve"> and creditors’ rights;</w:t>
      </w:r>
      <w:r w:rsidR="00D81519">
        <w:rPr>
          <w:sz w:val="24"/>
          <w:szCs w:val="24"/>
        </w:rPr>
        <w:t xml:space="preserve"> </w:t>
      </w:r>
      <w:r w:rsidR="000176ED" w:rsidRPr="000176ED">
        <w:rPr>
          <w:sz w:val="24"/>
          <w:szCs w:val="24"/>
        </w:rPr>
        <w:t>commercial loan documentation</w:t>
      </w:r>
      <w:r w:rsidR="008D3933">
        <w:rPr>
          <w:sz w:val="24"/>
          <w:szCs w:val="24"/>
        </w:rPr>
        <w:t>;</w:t>
      </w:r>
      <w:r w:rsidR="000176ED" w:rsidRPr="000176ED">
        <w:rPr>
          <w:sz w:val="24"/>
          <w:szCs w:val="24"/>
        </w:rPr>
        <w:t xml:space="preserve"> </w:t>
      </w:r>
      <w:r w:rsidR="00D81519">
        <w:rPr>
          <w:sz w:val="24"/>
          <w:szCs w:val="24"/>
        </w:rPr>
        <w:t xml:space="preserve">and </w:t>
      </w:r>
      <w:r w:rsidR="000176ED" w:rsidRPr="000176ED">
        <w:rPr>
          <w:sz w:val="24"/>
          <w:szCs w:val="24"/>
        </w:rPr>
        <w:t xml:space="preserve">credit risk management in commercial loan portfolios and shared-loss compliance. </w:t>
      </w:r>
    </w:p>
    <w:p w:rsidR="00500D92" w:rsidRDefault="00500D92" w:rsidP="000176ED">
      <w:pPr>
        <w:spacing w:line="360" w:lineRule="auto"/>
        <w:ind w:left="360" w:right="-7" w:firstLine="360"/>
        <w:jc w:val="both"/>
        <w:rPr>
          <w:sz w:val="24"/>
          <w:szCs w:val="24"/>
        </w:rPr>
      </w:pPr>
    </w:p>
    <w:p w:rsidR="008C3050" w:rsidRDefault="00FC6565" w:rsidP="008C3050">
      <w:pPr>
        <w:spacing w:line="360" w:lineRule="auto"/>
        <w:ind w:left="360" w:right="-7" w:firstLine="360"/>
        <w:jc w:val="center"/>
        <w:rPr>
          <w:sz w:val="24"/>
          <w:szCs w:val="24"/>
        </w:rPr>
      </w:pPr>
      <w:r w:rsidRPr="008C3050">
        <w:rPr>
          <w:b/>
          <w:sz w:val="24"/>
          <w:szCs w:val="24"/>
        </w:rPr>
        <w:t xml:space="preserve">Additional </w:t>
      </w:r>
      <w:r w:rsidR="008F3070" w:rsidRPr="008C3050">
        <w:rPr>
          <w:b/>
          <w:sz w:val="24"/>
          <w:szCs w:val="24"/>
        </w:rPr>
        <w:t>C</w:t>
      </w:r>
      <w:r w:rsidRPr="008C3050">
        <w:rPr>
          <w:b/>
          <w:sz w:val="24"/>
          <w:szCs w:val="24"/>
        </w:rPr>
        <w:t xml:space="preserve">redentials, </w:t>
      </w:r>
      <w:r w:rsidR="008F3070" w:rsidRPr="008C3050">
        <w:rPr>
          <w:b/>
          <w:sz w:val="24"/>
          <w:szCs w:val="24"/>
        </w:rPr>
        <w:t>C</w:t>
      </w:r>
      <w:r w:rsidRPr="008C3050">
        <w:rPr>
          <w:b/>
          <w:sz w:val="24"/>
          <w:szCs w:val="24"/>
        </w:rPr>
        <w:t xml:space="preserve">ase </w:t>
      </w:r>
      <w:r w:rsidR="008F3070" w:rsidRPr="008C3050">
        <w:rPr>
          <w:b/>
          <w:sz w:val="24"/>
          <w:szCs w:val="24"/>
        </w:rPr>
        <w:t>E</w:t>
      </w:r>
      <w:r w:rsidRPr="008C3050">
        <w:rPr>
          <w:b/>
          <w:sz w:val="24"/>
          <w:szCs w:val="24"/>
        </w:rPr>
        <w:t>xperience</w:t>
      </w:r>
      <w:r w:rsidR="008B7A53" w:rsidRPr="008C3050">
        <w:rPr>
          <w:b/>
          <w:sz w:val="24"/>
          <w:szCs w:val="24"/>
        </w:rPr>
        <w:t>, Rate Schedule</w:t>
      </w:r>
      <w:r w:rsidRPr="008C3050">
        <w:rPr>
          <w:b/>
          <w:sz w:val="24"/>
          <w:szCs w:val="24"/>
        </w:rPr>
        <w:t xml:space="preserve"> and References </w:t>
      </w:r>
      <w:r w:rsidR="008C3050" w:rsidRPr="008C3050">
        <w:rPr>
          <w:b/>
          <w:sz w:val="24"/>
          <w:szCs w:val="24"/>
        </w:rPr>
        <w:t>are available</w:t>
      </w:r>
      <w:r w:rsidRPr="008C3050">
        <w:rPr>
          <w:b/>
          <w:sz w:val="24"/>
          <w:szCs w:val="24"/>
        </w:rPr>
        <w:t xml:space="preserve"> upon request</w:t>
      </w:r>
      <w:r>
        <w:rPr>
          <w:sz w:val="24"/>
          <w:szCs w:val="24"/>
        </w:rPr>
        <w:t>.</w:t>
      </w:r>
    </w:p>
    <w:p w:rsidR="008C3050" w:rsidRDefault="008C3050" w:rsidP="008C3050">
      <w:pPr>
        <w:spacing w:line="360" w:lineRule="auto"/>
        <w:ind w:left="360" w:right="-7" w:firstLine="360"/>
        <w:jc w:val="center"/>
        <w:rPr>
          <w:b/>
          <w:sz w:val="24"/>
          <w:szCs w:val="24"/>
        </w:rPr>
      </w:pPr>
      <w:r w:rsidRPr="008C3050">
        <w:rPr>
          <w:b/>
          <w:sz w:val="24"/>
          <w:szCs w:val="24"/>
        </w:rPr>
        <w:t xml:space="preserve">Mr. Leibundgut may be contacted at (856) 912-8470 or </w:t>
      </w:r>
      <w:hyperlink r:id="rId10" w:history="1">
        <w:r w:rsidR="00313107" w:rsidRPr="00914DDE">
          <w:rPr>
            <w:rStyle w:val="Hyperlink"/>
            <w:b/>
            <w:sz w:val="24"/>
            <w:szCs w:val="24"/>
          </w:rPr>
          <w:t>peterl@pdjassociatesllc.com</w:t>
        </w:r>
      </w:hyperlink>
    </w:p>
    <w:p w:rsidR="00313107" w:rsidRDefault="00313107" w:rsidP="008C3050">
      <w:pPr>
        <w:spacing w:line="360" w:lineRule="auto"/>
        <w:ind w:left="360" w:right="-7" w:firstLine="360"/>
        <w:jc w:val="center"/>
        <w:rPr>
          <w:b/>
          <w:sz w:val="24"/>
          <w:szCs w:val="24"/>
        </w:rPr>
      </w:pPr>
    </w:p>
    <w:p w:rsidR="00313107" w:rsidRDefault="00313107" w:rsidP="008C3050">
      <w:pPr>
        <w:spacing w:line="360" w:lineRule="auto"/>
        <w:ind w:left="360" w:right="-7" w:firstLine="360"/>
        <w:jc w:val="center"/>
        <w:rPr>
          <w:b/>
          <w:sz w:val="24"/>
          <w:szCs w:val="24"/>
        </w:rPr>
      </w:pPr>
    </w:p>
    <w:p w:rsidR="00313107" w:rsidRDefault="00313107" w:rsidP="008C3050">
      <w:pPr>
        <w:spacing w:line="360" w:lineRule="auto"/>
        <w:ind w:left="360" w:right="-7" w:firstLine="360"/>
        <w:jc w:val="center"/>
        <w:rPr>
          <w:b/>
          <w:sz w:val="24"/>
          <w:szCs w:val="24"/>
        </w:rPr>
      </w:pPr>
    </w:p>
    <w:p w:rsidR="00313107" w:rsidRDefault="00313107" w:rsidP="008C3050">
      <w:pPr>
        <w:spacing w:line="360" w:lineRule="auto"/>
        <w:ind w:left="360" w:right="-7" w:firstLine="360"/>
        <w:jc w:val="center"/>
        <w:rPr>
          <w:b/>
          <w:sz w:val="24"/>
          <w:szCs w:val="24"/>
        </w:rPr>
      </w:pPr>
    </w:p>
    <w:p w:rsidR="00313107" w:rsidRDefault="00313107" w:rsidP="008C3050">
      <w:pPr>
        <w:spacing w:line="360" w:lineRule="auto"/>
        <w:ind w:left="360" w:right="-7" w:firstLine="360"/>
        <w:jc w:val="center"/>
        <w:rPr>
          <w:b/>
          <w:sz w:val="24"/>
          <w:szCs w:val="24"/>
        </w:rPr>
      </w:pPr>
    </w:p>
    <w:p w:rsidR="00313107" w:rsidRDefault="00313107" w:rsidP="00313107">
      <w:pPr>
        <w:pStyle w:val="00TitleC"/>
      </w:pPr>
      <w:r w:rsidRPr="0031682B">
        <w:lastRenderedPageBreak/>
        <w:t>PETER W. LEIBUNDGUT, ESQ.</w:t>
      </w:r>
    </w:p>
    <w:p w:rsidR="00313107" w:rsidRDefault="00313107" w:rsidP="00313107">
      <w:pPr>
        <w:pStyle w:val="00TitleC"/>
        <w:spacing w:after="0"/>
      </w:pPr>
      <w:r>
        <w:t>333 Stoney Brook Lane</w:t>
      </w:r>
    </w:p>
    <w:p w:rsidR="00313107" w:rsidRDefault="00313107" w:rsidP="00313107">
      <w:pPr>
        <w:pStyle w:val="00TitleC"/>
        <w:spacing w:after="0"/>
      </w:pPr>
      <w:r>
        <w:t>Marlton, New Jersey 08053</w:t>
      </w:r>
    </w:p>
    <w:p w:rsidR="00313107" w:rsidRDefault="00B76AB2" w:rsidP="00313107">
      <w:pPr>
        <w:pStyle w:val="00TitleC"/>
        <w:spacing w:after="0"/>
      </w:pPr>
      <w:hyperlink r:id="rId11" w:history="1">
        <w:r w:rsidR="00313107" w:rsidRPr="00F35F83">
          <w:rPr>
            <w:rStyle w:val="Hyperlink"/>
          </w:rPr>
          <w:t>peterl@pdjassociatesllc.com</w:t>
        </w:r>
      </w:hyperlink>
      <w:r w:rsidR="00313107">
        <w:t xml:space="preserve"> </w:t>
      </w:r>
    </w:p>
    <w:p w:rsidR="00313107" w:rsidRPr="006E72F3" w:rsidRDefault="00313107" w:rsidP="00313107">
      <w:pPr>
        <w:pStyle w:val="00TitleC"/>
      </w:pPr>
      <w:r>
        <w:t>(856) 912-8470</w:t>
      </w:r>
    </w:p>
    <w:p w:rsidR="00313107" w:rsidRPr="00A47AAC" w:rsidRDefault="00CE0F8F" w:rsidP="00313107">
      <w:pPr>
        <w:pStyle w:val="00Normal"/>
        <w:jc w:val="both"/>
      </w:pPr>
      <w:r w:rsidRPr="00A47AAC">
        <w:t xml:space="preserve">Since forming PD&amp;J in 2008, </w:t>
      </w:r>
      <w:r w:rsidR="00313107" w:rsidRPr="00A47AAC">
        <w:t xml:space="preserve">Mr. Leibundgut serves as expert witness in cases involving lender liability, legal malpractice, complex lending and credit facilities in </w:t>
      </w:r>
      <w:r w:rsidR="0058256B" w:rsidRPr="00A47AAC">
        <w:t>the</w:t>
      </w:r>
      <w:r w:rsidR="00313107" w:rsidRPr="00A47AAC">
        <w:t xml:space="preserve"> private and public sectors, fraud and creditor’s rights cases.  He provides select financial institution consulting through his company, PD&amp;J Associates, LLC (PD&amp;J).  His expertise includes Governance, Risk Management and Compliance, Bank Mergers and Acquisitions and Special Asset engagements. </w:t>
      </w:r>
      <w:r w:rsidR="00A13356" w:rsidRPr="00A47AAC">
        <w:t xml:space="preserve">He has niche expertise in the due diligence attendant to extending commercial and public credit including policies, procedures and processes.  </w:t>
      </w:r>
      <w:r w:rsidR="00090684">
        <w:t>He is a due diligence expert</w:t>
      </w:r>
      <w:r w:rsidR="00E021E0">
        <w:t>.  Over the last three years, he has developed niche expertise in the representing EB-5 Regional Centers and investors</w:t>
      </w:r>
      <w:r w:rsidR="001A2E3E">
        <w:t xml:space="preserve"> under the United States Foreign Investment Job Creation Program</w:t>
      </w:r>
      <w:r w:rsidR="00E13889">
        <w:t>.</w:t>
      </w:r>
      <w:r w:rsidR="00313107" w:rsidRPr="00A47AAC">
        <w:t xml:space="preserve"> </w:t>
      </w:r>
      <w:r w:rsidR="00E021E0">
        <w:t>Mr. Leibundgut continues to represent borrowers, investors and lenders in connection with domestic and foreign</w:t>
      </w:r>
      <w:r w:rsidR="00313107" w:rsidRPr="00A47AAC">
        <w:t xml:space="preserve"> private equity and debt investments in commercial real estate projects in both the private and public sectors.</w:t>
      </w:r>
    </w:p>
    <w:p w:rsidR="00313107" w:rsidRPr="00A47AAC" w:rsidRDefault="00CE0F8F" w:rsidP="00313107">
      <w:pPr>
        <w:pStyle w:val="00Normal"/>
        <w:jc w:val="both"/>
      </w:pPr>
      <w:r w:rsidRPr="00A47AAC">
        <w:t>In addition to serving as an expert witness and providing litigation support and consulting, t</w:t>
      </w:r>
      <w:r w:rsidR="00CA0097" w:rsidRPr="00A47AAC">
        <w:t xml:space="preserve">hrough PD&amp;J, </w:t>
      </w:r>
      <w:r w:rsidR="00313107" w:rsidRPr="00A47AAC">
        <w:t>Mr. Leibundgut served as Senior Vice President of Credit Risk Management and Chief Counsel for Ardmore Banking Advisors, Inc.; a Managing Director of Integrated Compliance Solutions, LLC (“ICS”); and founding member of Precision Loan Solutions, LLC</w:t>
      </w:r>
      <w:r w:rsidR="00B9496C" w:rsidRPr="00A47AAC">
        <w:t>, a</w:t>
      </w:r>
      <w:r w:rsidR="00313107" w:rsidRPr="00A47AAC">
        <w:t xml:space="preserve"> subsidiary of ICS. In both advisory firms he was responsible for overseeing government and commercial compliance, risk management and due diligence engagement</w:t>
      </w:r>
      <w:r w:rsidR="00CA0097" w:rsidRPr="00A47AAC">
        <w:t xml:space="preserve"> in the commercial lending and public finance sectors</w:t>
      </w:r>
      <w:r w:rsidR="00313107" w:rsidRPr="00A47AAC">
        <w:t xml:space="preserve">. </w:t>
      </w:r>
    </w:p>
    <w:p w:rsidR="00313107" w:rsidRPr="00A47AAC" w:rsidRDefault="00313107" w:rsidP="00313107">
      <w:pPr>
        <w:pStyle w:val="00Normal"/>
        <w:jc w:val="both"/>
      </w:pPr>
      <w:r w:rsidRPr="00A47AAC">
        <w:t xml:space="preserve">Over the last </w:t>
      </w:r>
      <w:r w:rsidR="00E021E0">
        <w:t>eight</w:t>
      </w:r>
      <w:r w:rsidRPr="00A47AAC">
        <w:t xml:space="preserve"> years he has framed and conducted various risk and compliance  assessments and advised banks in:  mergers and acquisitions; special assets and TDRs; developing compliant and “best practice” strategic plans, risk appetite scenarios, </w:t>
      </w:r>
      <w:r w:rsidR="00A13356" w:rsidRPr="00A47AAC">
        <w:t xml:space="preserve">credit </w:t>
      </w:r>
      <w:r w:rsidRPr="00A47AAC">
        <w:t xml:space="preserve">policies, procedures and processes; </w:t>
      </w:r>
      <w:r w:rsidR="00E274C6" w:rsidRPr="00A47AAC">
        <w:t>due diligence</w:t>
      </w:r>
      <w:r w:rsidR="00792104" w:rsidRPr="00A47AAC">
        <w:t xml:space="preserve"> “best practices” in underwriting commercial loans</w:t>
      </w:r>
      <w:r w:rsidR="00CE0F8F" w:rsidRPr="00A47AAC">
        <w:t xml:space="preserve"> and public financings</w:t>
      </w:r>
      <w:r w:rsidR="00E274C6" w:rsidRPr="00A47AAC">
        <w:t xml:space="preserve">; </w:t>
      </w:r>
      <w:r w:rsidRPr="00A47AAC">
        <w:t xml:space="preserve"> and emerging regulatory and compliance best practices. He has also provided forensic and regulatory consulting services to the financial community, law firms, accounting firms, the FDIC, SEC and Justice Department.  Mr. Leibundgut has been certified as an expert </w:t>
      </w:r>
      <w:r w:rsidR="0035489A" w:rsidRPr="00A47AAC">
        <w:t xml:space="preserve">and provided litigation support </w:t>
      </w:r>
      <w:r w:rsidRPr="00A47AAC">
        <w:t xml:space="preserve">in a number of lender liability, legal malpractice, fiduciary duty, fraud and creditor’s rights cases.  He has lead forensic loan review engagements for the FDIC in connection with bank seizures.  </w:t>
      </w:r>
    </w:p>
    <w:p w:rsidR="00CE0F8F" w:rsidRPr="00A47AAC" w:rsidRDefault="00313107" w:rsidP="00CE0F8F">
      <w:pPr>
        <w:pStyle w:val="00Normal"/>
        <w:spacing w:before="120" w:after="120"/>
      </w:pPr>
      <w:r w:rsidRPr="00A47AAC">
        <w:t xml:space="preserve">Prior to becoming a consultant, he was a financial services attorney involved in the consumer, public and commercial financial markets generally representing lenders, borrowers, investors and issuers.  </w:t>
      </w:r>
    </w:p>
    <w:p w:rsidR="00CE0F8F" w:rsidRDefault="00CE0F8F" w:rsidP="00CE0F8F">
      <w:pPr>
        <w:pStyle w:val="00Normal"/>
        <w:spacing w:before="120" w:after="120"/>
      </w:pPr>
      <w:r>
        <w:rPr>
          <w:b/>
        </w:rPr>
        <w:t xml:space="preserve">BALLARD SPAHR LLP, </w:t>
      </w:r>
      <w:r>
        <w:rPr>
          <w:b/>
          <w:i/>
        </w:rPr>
        <w:t xml:space="preserve">Of Counsel. </w:t>
      </w:r>
      <w:r>
        <w:t>Philadelphia, PA, May, 2004 – April, 2008</w:t>
      </w:r>
    </w:p>
    <w:p w:rsidR="00CE0F8F" w:rsidRDefault="00CE0F8F" w:rsidP="00CE0F8F">
      <w:pPr>
        <w:pStyle w:val="00Normal"/>
        <w:numPr>
          <w:ilvl w:val="0"/>
          <w:numId w:val="7"/>
        </w:numPr>
        <w:spacing w:after="0"/>
        <w:jc w:val="both"/>
        <w:rPr>
          <w:b/>
        </w:rPr>
      </w:pPr>
      <w:r>
        <w:t>Public Private Partnerships and innovative public financial structures including Military Housing and Transportation Infrastructure (representing  TIFIA JPO), underwriters, issuers, lenders and borrowers;</w:t>
      </w:r>
    </w:p>
    <w:p w:rsidR="00CE0F8F" w:rsidRDefault="00CE0F8F" w:rsidP="00CE0F8F">
      <w:pPr>
        <w:pStyle w:val="00Normal"/>
        <w:numPr>
          <w:ilvl w:val="0"/>
          <w:numId w:val="7"/>
        </w:numPr>
        <w:spacing w:after="0"/>
        <w:jc w:val="both"/>
        <w:rPr>
          <w:b/>
        </w:rPr>
      </w:pPr>
      <w:r>
        <w:lastRenderedPageBreak/>
        <w:t>Complex commercial and public credit facilities including: project finance; syndications; revenue stream securitization; debt portfolio sales and purchases; tax lien securitization; and collateralized surety bonding programs; and</w:t>
      </w:r>
    </w:p>
    <w:p w:rsidR="00CE0F8F" w:rsidRDefault="00CE0F8F" w:rsidP="00CE0F8F">
      <w:pPr>
        <w:pStyle w:val="00Normal"/>
        <w:numPr>
          <w:ilvl w:val="0"/>
          <w:numId w:val="7"/>
        </w:numPr>
        <w:spacing w:after="120"/>
        <w:ind w:left="821"/>
        <w:jc w:val="both"/>
        <w:rPr>
          <w:b/>
        </w:rPr>
      </w:pPr>
      <w:r>
        <w:t xml:space="preserve">Microfinance for CitiGroup and Grameen Foundation-Grameen’s Chairman won Nobel Prize for first of its kind structure. </w:t>
      </w:r>
    </w:p>
    <w:p w:rsidR="00CE0F8F" w:rsidRDefault="00CE0F8F" w:rsidP="00CE0F8F">
      <w:pPr>
        <w:pStyle w:val="00Normal"/>
        <w:spacing w:after="120"/>
      </w:pPr>
      <w:r>
        <w:rPr>
          <w:b/>
        </w:rPr>
        <w:t xml:space="preserve">PARKER MCCAY PA, </w:t>
      </w:r>
      <w:r>
        <w:rPr>
          <w:b/>
          <w:i/>
        </w:rPr>
        <w:t xml:space="preserve">Partner.  </w:t>
      </w:r>
      <w:r>
        <w:t xml:space="preserve">Cherry Hill, NJ, June, 2001 – May 2004 </w:t>
      </w:r>
    </w:p>
    <w:p w:rsidR="00CE0F8F" w:rsidRDefault="00CE0F8F" w:rsidP="00CE0F8F">
      <w:pPr>
        <w:pStyle w:val="00Normal"/>
        <w:numPr>
          <w:ilvl w:val="0"/>
          <w:numId w:val="8"/>
        </w:numPr>
        <w:spacing w:before="120" w:after="0"/>
        <w:jc w:val="both"/>
      </w:pPr>
      <w:r>
        <w:t>Hired as “in-house” counsel to Commerce Bank, NA;</w:t>
      </w:r>
    </w:p>
    <w:p w:rsidR="00CE0F8F" w:rsidRDefault="00CE0F8F" w:rsidP="00CE0F8F">
      <w:pPr>
        <w:pStyle w:val="00Normal"/>
        <w:numPr>
          <w:ilvl w:val="0"/>
          <w:numId w:val="8"/>
        </w:numPr>
        <w:spacing w:after="0"/>
        <w:jc w:val="both"/>
      </w:pPr>
      <w:r>
        <w:t xml:space="preserve">Developed policy, procedures and documentation for workout, public finance, healthcare, equipment leasing, asset based lending and letters of credit;  </w:t>
      </w:r>
    </w:p>
    <w:p w:rsidR="00CE0F8F" w:rsidRDefault="00CE0F8F" w:rsidP="00CE0F8F">
      <w:pPr>
        <w:pStyle w:val="00Normal"/>
        <w:numPr>
          <w:ilvl w:val="0"/>
          <w:numId w:val="8"/>
        </w:numPr>
        <w:spacing w:after="0"/>
        <w:jc w:val="both"/>
      </w:pPr>
      <w:r>
        <w:t>Counseled  senior management and loan officers on and facilitated new product development including healthcare, equipment leasing and asset based lines of business; and</w:t>
      </w:r>
    </w:p>
    <w:p w:rsidR="00CE0F8F" w:rsidRDefault="00CE0F8F" w:rsidP="00CE0F8F">
      <w:pPr>
        <w:pStyle w:val="00Normal"/>
        <w:numPr>
          <w:ilvl w:val="0"/>
          <w:numId w:val="8"/>
        </w:numPr>
        <w:spacing w:after="120"/>
        <w:jc w:val="both"/>
      </w:pPr>
      <w:r>
        <w:t xml:space="preserve">Oversaw due diligence, documentation and closing of:  syndicated credit facilities; public finance and direct bond financings; equipment leasing; C&amp;I and asset based lending. </w:t>
      </w:r>
    </w:p>
    <w:p w:rsidR="00CE0F8F" w:rsidRDefault="00CE0F8F" w:rsidP="00CE0F8F">
      <w:pPr>
        <w:pStyle w:val="00Normal"/>
        <w:spacing w:after="120"/>
      </w:pPr>
      <w:r>
        <w:rPr>
          <w:b/>
        </w:rPr>
        <w:t xml:space="preserve">BLANK ROME LLP, </w:t>
      </w:r>
      <w:r>
        <w:rPr>
          <w:b/>
          <w:i/>
        </w:rPr>
        <w:t xml:space="preserve">Of Counsel.   </w:t>
      </w:r>
      <w:r>
        <w:t>Philadelphia, PA, April 1997 – May 2001Asset-based financing, securitizations, secured and unsecured revolving credit and term loan financing;</w:t>
      </w:r>
    </w:p>
    <w:p w:rsidR="00CE0F8F" w:rsidRDefault="00CE0F8F" w:rsidP="00CE0F8F">
      <w:pPr>
        <w:pStyle w:val="00Normal"/>
        <w:numPr>
          <w:ilvl w:val="0"/>
          <w:numId w:val="10"/>
        </w:numPr>
        <w:spacing w:after="0"/>
        <w:jc w:val="both"/>
      </w:pPr>
      <w:r>
        <w:t>Debtor in possession financing, syndicated loans, equipment leasing, synthetic lease and sale-leaseback transactions, mergers and acquisitions and letter of credit enhanced financing;</w:t>
      </w:r>
    </w:p>
    <w:p w:rsidR="00CE0F8F" w:rsidRDefault="00CE0F8F" w:rsidP="00CE0F8F">
      <w:pPr>
        <w:pStyle w:val="00Normal"/>
        <w:numPr>
          <w:ilvl w:val="0"/>
          <w:numId w:val="10"/>
        </w:numPr>
        <w:spacing w:after="0"/>
        <w:jc w:val="both"/>
      </w:pPr>
      <w:r>
        <w:t>Public and municipal finance;</w:t>
      </w:r>
    </w:p>
    <w:p w:rsidR="00CE0F8F" w:rsidRDefault="00CE0F8F" w:rsidP="00CE0F8F">
      <w:pPr>
        <w:pStyle w:val="00Normal"/>
        <w:numPr>
          <w:ilvl w:val="0"/>
          <w:numId w:val="10"/>
        </w:numPr>
        <w:spacing w:after="0"/>
        <w:jc w:val="both"/>
      </w:pPr>
      <w:r>
        <w:t>Developed practice in bulk and forward flow bad credit card debt sales principally on behalf of money center banks; and</w:t>
      </w:r>
    </w:p>
    <w:p w:rsidR="00CE0F8F" w:rsidRDefault="00CE0F8F" w:rsidP="00CE0F8F">
      <w:pPr>
        <w:pStyle w:val="00Normal"/>
        <w:numPr>
          <w:ilvl w:val="0"/>
          <w:numId w:val="10"/>
        </w:numPr>
        <w:spacing w:after="120"/>
        <w:jc w:val="both"/>
      </w:pPr>
      <w:r>
        <w:t xml:space="preserve">Helped developed niche practice groups addressing emerging healthcare and telecommunications finance.   </w:t>
      </w:r>
    </w:p>
    <w:p w:rsidR="00CE0F8F" w:rsidRDefault="00CE0F8F" w:rsidP="00CE0F8F">
      <w:pPr>
        <w:pStyle w:val="00Normal"/>
        <w:spacing w:after="120"/>
        <w:rPr>
          <w:b/>
        </w:rPr>
      </w:pPr>
      <w:r>
        <w:rPr>
          <w:b/>
        </w:rPr>
        <w:t xml:space="preserve">LEITESS &amp; ASSOCIATES, PC, </w:t>
      </w:r>
      <w:r>
        <w:rPr>
          <w:b/>
          <w:i/>
        </w:rPr>
        <w:t xml:space="preserve">Partner. </w:t>
      </w:r>
      <w:r>
        <w:t>Voorhees, NJ, March 1996 – March 1997</w:t>
      </w:r>
    </w:p>
    <w:p w:rsidR="00CE0F8F" w:rsidRDefault="00CE0F8F" w:rsidP="00CE0F8F">
      <w:pPr>
        <w:pStyle w:val="00Normal"/>
        <w:numPr>
          <w:ilvl w:val="0"/>
          <w:numId w:val="11"/>
        </w:numPr>
        <w:spacing w:after="0"/>
      </w:pPr>
      <w:r>
        <w:t xml:space="preserve">Started Delaware Valley office of Baltimore based firm; </w:t>
      </w:r>
    </w:p>
    <w:p w:rsidR="00CE0F8F" w:rsidRDefault="00CE0F8F" w:rsidP="00CE0F8F">
      <w:pPr>
        <w:pStyle w:val="00Normal"/>
        <w:numPr>
          <w:ilvl w:val="0"/>
          <w:numId w:val="12"/>
        </w:numPr>
        <w:spacing w:after="0"/>
        <w:jc w:val="both"/>
      </w:pPr>
      <w:r>
        <w:t>Bank, finance and equipment leasing company transactions; and</w:t>
      </w:r>
    </w:p>
    <w:p w:rsidR="00CE0F8F" w:rsidRDefault="00CE0F8F" w:rsidP="00CE0F8F">
      <w:pPr>
        <w:pStyle w:val="00Normal"/>
        <w:numPr>
          <w:ilvl w:val="0"/>
          <w:numId w:val="12"/>
        </w:numPr>
        <w:spacing w:after="120"/>
        <w:jc w:val="both"/>
      </w:pPr>
      <w:r>
        <w:t>Creditor’s rights, workouts and bankruptcy matters.</w:t>
      </w:r>
    </w:p>
    <w:p w:rsidR="00CE0F8F" w:rsidRDefault="00CE0F8F" w:rsidP="00CE0F8F">
      <w:pPr>
        <w:pStyle w:val="00Normal"/>
        <w:spacing w:after="120"/>
      </w:pPr>
      <w:r>
        <w:rPr>
          <w:b/>
        </w:rPr>
        <w:t xml:space="preserve">CLARK LADNER FORTENBAUGH &amp; YOUNG, </w:t>
      </w:r>
      <w:r>
        <w:rPr>
          <w:b/>
          <w:i/>
        </w:rPr>
        <w:t xml:space="preserve">Partner. </w:t>
      </w:r>
      <w:r>
        <w:t>Cherry Hill, NJ, Jan. 1986 – Feb. 1996</w:t>
      </w:r>
    </w:p>
    <w:p w:rsidR="00CE0F8F" w:rsidRDefault="00CE0F8F" w:rsidP="00CE0F8F">
      <w:pPr>
        <w:pStyle w:val="00Normal"/>
        <w:numPr>
          <w:ilvl w:val="0"/>
          <w:numId w:val="13"/>
        </w:numPr>
        <w:spacing w:after="0"/>
        <w:ind w:hanging="270"/>
      </w:pPr>
      <w:r>
        <w:t xml:space="preserve"> Solicited to help start a New Jersey office with one Partner which grew to 32 attorneys;</w:t>
      </w:r>
    </w:p>
    <w:p w:rsidR="00E021E0" w:rsidRDefault="00CE0F8F" w:rsidP="00CE0F8F">
      <w:pPr>
        <w:pStyle w:val="00Normal"/>
        <w:numPr>
          <w:ilvl w:val="0"/>
          <w:numId w:val="14"/>
        </w:numPr>
        <w:spacing w:after="0"/>
        <w:jc w:val="both"/>
      </w:pPr>
      <w:r>
        <w:t xml:space="preserve">Real estate, banking, commercial and public finance; </w:t>
      </w:r>
    </w:p>
    <w:p w:rsidR="00CE0F8F" w:rsidRDefault="00E021E0" w:rsidP="00CE0F8F">
      <w:pPr>
        <w:pStyle w:val="00Normal"/>
        <w:numPr>
          <w:ilvl w:val="0"/>
          <w:numId w:val="14"/>
        </w:numPr>
        <w:spacing w:after="0"/>
        <w:jc w:val="both"/>
      </w:pPr>
      <w:r>
        <w:t>Residential Mortgage Lending and Banking;</w:t>
      </w:r>
      <w:r w:rsidR="00CE0F8F">
        <w:t xml:space="preserve"> </w:t>
      </w:r>
    </w:p>
    <w:p w:rsidR="00CE0F8F" w:rsidRDefault="00CE0F8F" w:rsidP="00CE0F8F">
      <w:pPr>
        <w:pStyle w:val="00Normal"/>
        <w:numPr>
          <w:ilvl w:val="0"/>
          <w:numId w:val="14"/>
        </w:numPr>
        <w:spacing w:after="0"/>
        <w:jc w:val="both"/>
      </w:pPr>
      <w:r>
        <w:t>Mergers and acquisitions;</w:t>
      </w:r>
    </w:p>
    <w:p w:rsidR="00CE0F8F" w:rsidRDefault="00CE0F8F" w:rsidP="00CE0F8F">
      <w:pPr>
        <w:pStyle w:val="00Normal"/>
        <w:numPr>
          <w:ilvl w:val="0"/>
          <w:numId w:val="14"/>
        </w:numPr>
        <w:spacing w:after="0"/>
        <w:jc w:val="both"/>
      </w:pPr>
      <w:r>
        <w:t xml:space="preserve">Lead counsel in restructuring and liquidating Mutual Benefit Life in Rehabilitation; </w:t>
      </w:r>
    </w:p>
    <w:p w:rsidR="00CE0F8F" w:rsidRDefault="00CE0F8F" w:rsidP="00CE0F8F">
      <w:pPr>
        <w:pStyle w:val="00Normal"/>
        <w:numPr>
          <w:ilvl w:val="0"/>
          <w:numId w:val="14"/>
        </w:numPr>
        <w:spacing w:after="0"/>
        <w:ind w:left="763"/>
        <w:jc w:val="both"/>
      </w:pPr>
      <w:r>
        <w:t>New Jersey Advisory Board member-Chemical Bank.  Advisory Board member - Farm Credit; and</w:t>
      </w:r>
    </w:p>
    <w:p w:rsidR="00CE0F8F" w:rsidRDefault="00CE0F8F" w:rsidP="00CE0F8F">
      <w:pPr>
        <w:pStyle w:val="00Normal"/>
        <w:numPr>
          <w:ilvl w:val="0"/>
          <w:numId w:val="14"/>
        </w:numPr>
        <w:spacing w:after="120"/>
        <w:ind w:left="763"/>
        <w:jc w:val="both"/>
      </w:pPr>
      <w:r>
        <w:t>Resolution Trust Corporation counsel.</w:t>
      </w:r>
    </w:p>
    <w:p w:rsidR="00CE0F8F" w:rsidRDefault="00CE0F8F" w:rsidP="00CE0F8F">
      <w:pPr>
        <w:pStyle w:val="00Normal"/>
        <w:spacing w:after="120"/>
      </w:pPr>
      <w:r>
        <w:rPr>
          <w:b/>
        </w:rPr>
        <w:t xml:space="preserve">WACKS, HIRSH, RAMSEY &amp; KIMMEL, </w:t>
      </w:r>
      <w:r>
        <w:rPr>
          <w:b/>
          <w:i/>
        </w:rPr>
        <w:t xml:space="preserve">Associate. </w:t>
      </w:r>
      <w:r>
        <w:t>Morristown, NJ, Jan. 1984 – Dec. 1986</w:t>
      </w:r>
    </w:p>
    <w:p w:rsidR="00CE0F8F" w:rsidRPr="00E021E0" w:rsidRDefault="00CE0F8F" w:rsidP="00E021E0">
      <w:pPr>
        <w:pStyle w:val="00Normal"/>
        <w:numPr>
          <w:ilvl w:val="0"/>
          <w:numId w:val="15"/>
        </w:numPr>
        <w:spacing w:after="0"/>
        <w:rPr>
          <w:b/>
        </w:rPr>
      </w:pPr>
      <w:r>
        <w:t>Commercial real estate development, land use and finance; Economic and industrial development bond transactions; and Ethics opinions</w:t>
      </w:r>
      <w:r w:rsidR="00E021E0">
        <w:t>; and</w:t>
      </w:r>
    </w:p>
    <w:p w:rsidR="00E021E0" w:rsidRDefault="00E021E0" w:rsidP="00CE0F8F">
      <w:pPr>
        <w:pStyle w:val="00Normal"/>
        <w:numPr>
          <w:ilvl w:val="0"/>
          <w:numId w:val="15"/>
        </w:numPr>
        <w:spacing w:after="120"/>
        <w:rPr>
          <w:b/>
        </w:rPr>
      </w:pPr>
      <w:r>
        <w:lastRenderedPageBreak/>
        <w:t>Residential real estate.</w:t>
      </w:r>
    </w:p>
    <w:p w:rsidR="00CE0F8F" w:rsidRDefault="00CE0F8F" w:rsidP="00CE0F8F">
      <w:pPr>
        <w:pStyle w:val="00Normal"/>
        <w:spacing w:after="120"/>
        <w:rPr>
          <w:b/>
        </w:rPr>
      </w:pPr>
      <w:r>
        <w:rPr>
          <w:b/>
        </w:rPr>
        <w:t xml:space="preserve">ZOCK, PETRIE, REID &amp; CURTIN, </w:t>
      </w:r>
      <w:r>
        <w:rPr>
          <w:b/>
          <w:i/>
        </w:rPr>
        <w:t xml:space="preserve">Summer Associate, Associate. </w:t>
      </w:r>
      <w:r>
        <w:t>New York, NY, June 1982 – Dec. 1984</w:t>
      </w:r>
    </w:p>
    <w:p w:rsidR="00CE0F8F" w:rsidRDefault="00CE0F8F" w:rsidP="00CE0F8F">
      <w:pPr>
        <w:pStyle w:val="00Normal"/>
        <w:numPr>
          <w:ilvl w:val="0"/>
          <w:numId w:val="16"/>
        </w:numPr>
        <w:spacing w:after="0"/>
        <w:jc w:val="both"/>
      </w:pPr>
      <w:r>
        <w:t>Construction and financing agreements for 129 vessels for Sanko Kissen (USA); and</w:t>
      </w:r>
    </w:p>
    <w:p w:rsidR="00CE0F8F" w:rsidRDefault="00CE0F8F" w:rsidP="00CE0F8F">
      <w:pPr>
        <w:pStyle w:val="00Normal"/>
        <w:numPr>
          <w:ilvl w:val="0"/>
          <w:numId w:val="16"/>
        </w:numPr>
        <w:spacing w:after="120"/>
        <w:jc w:val="both"/>
      </w:pPr>
      <w:r>
        <w:t xml:space="preserve">Charter parties, bills of lading and arbitration of charter party disputes. </w:t>
      </w:r>
    </w:p>
    <w:p w:rsidR="00CE0F8F" w:rsidRDefault="00CE0F8F" w:rsidP="00CE0F8F">
      <w:pPr>
        <w:pStyle w:val="00Normal"/>
        <w:rPr>
          <w:b/>
        </w:rPr>
      </w:pPr>
      <w:r>
        <w:rPr>
          <w:b/>
        </w:rPr>
        <w:t>ADMI</w:t>
      </w:r>
      <w:r w:rsidR="005001A0">
        <w:rPr>
          <w:b/>
        </w:rPr>
        <w:t>SS</w:t>
      </w:r>
      <w:r>
        <w:rPr>
          <w:b/>
        </w:rPr>
        <w:t>IONS: the States of New York (1984) and New Jersey (1985)</w:t>
      </w:r>
    </w:p>
    <w:p w:rsidR="00CE0F8F" w:rsidRDefault="00CE0F8F" w:rsidP="00CE0F8F">
      <w:pPr>
        <w:pStyle w:val="00Normal"/>
        <w:spacing w:after="0"/>
        <w:rPr>
          <w:b/>
        </w:rPr>
      </w:pPr>
      <w:r>
        <w:rPr>
          <w:b/>
        </w:rPr>
        <w:t>EDUCATION:</w:t>
      </w:r>
    </w:p>
    <w:p w:rsidR="00CE0F8F" w:rsidRDefault="00CE0F8F" w:rsidP="00CE0F8F">
      <w:pPr>
        <w:pStyle w:val="00BulletList"/>
        <w:numPr>
          <w:ilvl w:val="0"/>
          <w:numId w:val="6"/>
        </w:numPr>
        <w:tabs>
          <w:tab w:val="num" w:pos="337"/>
        </w:tabs>
        <w:ind w:left="337" w:hanging="337"/>
      </w:pPr>
      <w:r>
        <w:t>Vermont Law School – Juris Doctor, May 1983</w:t>
      </w:r>
      <w:r>
        <w:br/>
      </w:r>
      <w:r>
        <w:tab/>
        <w:t>Summer Environmental Law Program</w:t>
      </w:r>
    </w:p>
    <w:p w:rsidR="00CE0F8F" w:rsidRDefault="00CE0F8F" w:rsidP="00CE0F8F">
      <w:pPr>
        <w:pStyle w:val="00BulletList"/>
        <w:numPr>
          <w:ilvl w:val="0"/>
          <w:numId w:val="0"/>
        </w:numPr>
        <w:tabs>
          <w:tab w:val="left" w:pos="720"/>
        </w:tabs>
        <w:ind w:left="337"/>
      </w:pPr>
      <w:r>
        <w:t xml:space="preserve">             Independent study with Professor Grant Gilmore:  Adjudication of Maritime Liens in Bankruptcy</w:t>
      </w:r>
    </w:p>
    <w:p w:rsidR="00CE0F8F" w:rsidRDefault="00CE0F8F" w:rsidP="00CE0F8F">
      <w:pPr>
        <w:pStyle w:val="00BulletList"/>
        <w:numPr>
          <w:ilvl w:val="0"/>
          <w:numId w:val="17"/>
        </w:numPr>
        <w:tabs>
          <w:tab w:val="left" w:pos="252"/>
        </w:tabs>
        <w:spacing w:after="120"/>
        <w:ind w:hanging="990"/>
      </w:pPr>
      <w:r>
        <w:t>Dickinson College – Bachelor of Arts, May 1980</w:t>
      </w:r>
      <w:r>
        <w:br/>
        <w:t xml:space="preserve"> Majors:  Economics, Philosophy</w:t>
      </w:r>
      <w:r>
        <w:br/>
        <w:t xml:space="preserve"> Nisbit Scholars Program</w:t>
      </w:r>
    </w:p>
    <w:p w:rsidR="00CE0F8F" w:rsidRDefault="00CE0F8F" w:rsidP="00CE0F8F">
      <w:pPr>
        <w:pStyle w:val="00Normal"/>
        <w:spacing w:after="120"/>
        <w:rPr>
          <w:b/>
        </w:rPr>
      </w:pPr>
      <w:r>
        <w:rPr>
          <w:b/>
        </w:rPr>
        <w:t>MEMBERSHIPS:</w:t>
      </w:r>
    </w:p>
    <w:p w:rsidR="00CE0F8F" w:rsidRDefault="00CE0F8F" w:rsidP="00CE0F8F">
      <w:pPr>
        <w:pStyle w:val="00BulletList"/>
        <w:numPr>
          <w:ilvl w:val="0"/>
          <w:numId w:val="6"/>
        </w:numPr>
        <w:tabs>
          <w:tab w:val="num" w:pos="337"/>
        </w:tabs>
        <w:ind w:left="337" w:hanging="337"/>
      </w:pPr>
      <w:r>
        <w:t>The Association of Commercial Finance Attorneys (“ACFA”) (past Officer and  Executive Board member) 1985-Present</w:t>
      </w:r>
    </w:p>
    <w:p w:rsidR="00CE0F8F" w:rsidRDefault="00CE0F8F" w:rsidP="00CE0F8F">
      <w:pPr>
        <w:pStyle w:val="00BulletList"/>
        <w:numPr>
          <w:ilvl w:val="0"/>
          <w:numId w:val="6"/>
        </w:numPr>
        <w:tabs>
          <w:tab w:val="num" w:pos="337"/>
        </w:tabs>
        <w:ind w:left="337" w:hanging="337"/>
      </w:pPr>
      <w:r>
        <w:t>American Bar Association (Section on Business Law - Commercial Finance Committee) 1986-2001</w:t>
      </w:r>
    </w:p>
    <w:p w:rsidR="00CE0F8F" w:rsidRDefault="00CE0F8F" w:rsidP="00CE0F8F">
      <w:pPr>
        <w:pStyle w:val="00BulletList"/>
        <w:numPr>
          <w:ilvl w:val="0"/>
          <w:numId w:val="6"/>
        </w:numPr>
        <w:tabs>
          <w:tab w:val="num" w:pos="337"/>
        </w:tabs>
        <w:ind w:left="337" w:hanging="337"/>
      </w:pPr>
      <w:r>
        <w:t>Turn Around Management Association 1990- 2013</w:t>
      </w:r>
    </w:p>
    <w:p w:rsidR="00CE0F8F" w:rsidRDefault="00CE0F8F" w:rsidP="00CE0F8F">
      <w:pPr>
        <w:pStyle w:val="00BulletList"/>
        <w:numPr>
          <w:ilvl w:val="0"/>
          <w:numId w:val="6"/>
        </w:numPr>
        <w:tabs>
          <w:tab w:val="num" w:pos="337"/>
        </w:tabs>
        <w:ind w:left="337" w:hanging="337"/>
      </w:pPr>
      <w:r>
        <w:t>National Bond Lawyers Association 1998-2008</w:t>
      </w:r>
    </w:p>
    <w:p w:rsidR="00CE0F8F" w:rsidRDefault="00CE0F8F" w:rsidP="00CE0F8F">
      <w:pPr>
        <w:pStyle w:val="00BulletList"/>
        <w:numPr>
          <w:ilvl w:val="0"/>
          <w:numId w:val="6"/>
        </w:numPr>
        <w:tabs>
          <w:tab w:val="num" w:pos="337"/>
        </w:tabs>
        <w:ind w:left="337" w:hanging="337"/>
      </w:pPr>
      <w:r>
        <w:t>Commercial Finance Association 1990- 2008</w:t>
      </w:r>
    </w:p>
    <w:p w:rsidR="00CE0F8F" w:rsidRDefault="00CE0F8F" w:rsidP="00CE0F8F">
      <w:pPr>
        <w:pStyle w:val="00BulletList"/>
        <w:numPr>
          <w:ilvl w:val="0"/>
          <w:numId w:val="6"/>
        </w:numPr>
        <w:tabs>
          <w:tab w:val="num" w:pos="337"/>
        </w:tabs>
        <w:ind w:left="337" w:hanging="337"/>
      </w:pPr>
      <w:r>
        <w:t>Asset Based Securitization East National Conference 2003, 2004, 2005</w:t>
      </w:r>
    </w:p>
    <w:p w:rsidR="00CE0F8F" w:rsidRDefault="00CE0F8F" w:rsidP="00CE0F8F">
      <w:pPr>
        <w:pStyle w:val="00BulletList"/>
        <w:numPr>
          <w:ilvl w:val="0"/>
          <w:numId w:val="6"/>
        </w:numPr>
        <w:tabs>
          <w:tab w:val="num" w:pos="337"/>
        </w:tabs>
        <w:ind w:left="337" w:hanging="337"/>
      </w:pPr>
      <w:r>
        <w:t>National Association of Industrial and Office Properties 1986-Present</w:t>
      </w:r>
    </w:p>
    <w:p w:rsidR="00CE0F8F" w:rsidRDefault="00CE0F8F" w:rsidP="00CE0F8F">
      <w:pPr>
        <w:pStyle w:val="00BulletList"/>
        <w:numPr>
          <w:ilvl w:val="0"/>
          <w:numId w:val="6"/>
        </w:numPr>
        <w:tabs>
          <w:tab w:val="num" w:pos="337"/>
        </w:tabs>
        <w:ind w:left="337" w:hanging="337"/>
      </w:pPr>
      <w:r>
        <w:t>Equipment Lease Finance Association (1997-2007)</w:t>
      </w:r>
    </w:p>
    <w:p w:rsidR="00CE0F8F" w:rsidRDefault="00CE0F8F" w:rsidP="00CE0F8F">
      <w:pPr>
        <w:pStyle w:val="00BulletList"/>
        <w:numPr>
          <w:ilvl w:val="0"/>
          <w:numId w:val="6"/>
        </w:numPr>
        <w:tabs>
          <w:tab w:val="num" w:pos="337"/>
        </w:tabs>
        <w:ind w:left="337" w:hanging="337"/>
      </w:pPr>
      <w:r>
        <w:t>Risk Management Association  2009-Present</w:t>
      </w:r>
    </w:p>
    <w:p w:rsidR="00CE0F8F" w:rsidRDefault="00CE0F8F" w:rsidP="00CE0F8F">
      <w:pPr>
        <w:pStyle w:val="00BulletList"/>
        <w:numPr>
          <w:ilvl w:val="0"/>
          <w:numId w:val="6"/>
        </w:numPr>
        <w:tabs>
          <w:tab w:val="num" w:pos="337"/>
        </w:tabs>
        <w:ind w:left="337" w:hanging="337"/>
      </w:pPr>
      <w:r>
        <w:t>Association of Corporate Growth  2008- 2012</w:t>
      </w:r>
    </w:p>
    <w:p w:rsidR="00CE0F8F" w:rsidRDefault="00CE0F8F" w:rsidP="00CE0F8F">
      <w:pPr>
        <w:pStyle w:val="00BulletList"/>
        <w:numPr>
          <w:ilvl w:val="0"/>
          <w:numId w:val="6"/>
        </w:numPr>
        <w:tabs>
          <w:tab w:val="num" w:pos="337"/>
        </w:tabs>
        <w:ind w:left="337" w:hanging="337"/>
      </w:pPr>
      <w:r>
        <w:t>New Jersey Bankers Association  2009-2013</w:t>
      </w:r>
    </w:p>
    <w:p w:rsidR="00CE0F8F" w:rsidRDefault="00CE0F8F" w:rsidP="00CE0F8F">
      <w:pPr>
        <w:pStyle w:val="00BulletList"/>
        <w:numPr>
          <w:ilvl w:val="0"/>
          <w:numId w:val="6"/>
        </w:numPr>
        <w:tabs>
          <w:tab w:val="num" w:pos="337"/>
        </w:tabs>
        <w:spacing w:after="120"/>
        <w:ind w:left="331" w:hanging="331"/>
      </w:pPr>
      <w:r>
        <w:t>Southern New Jersey Development Council -  2012- Present</w:t>
      </w:r>
    </w:p>
    <w:p w:rsidR="00CE0F8F" w:rsidRDefault="00CE0F8F" w:rsidP="00CE0F8F">
      <w:pPr>
        <w:pStyle w:val="00Normal"/>
        <w:spacing w:after="120"/>
        <w:rPr>
          <w:b/>
        </w:rPr>
      </w:pPr>
      <w:r>
        <w:rPr>
          <w:b/>
        </w:rPr>
        <w:t>PRESENTATIONS AND ARTICLES:</w:t>
      </w:r>
    </w:p>
    <w:p w:rsidR="00CE0F8F" w:rsidRDefault="00CE0F8F" w:rsidP="00CE0F8F">
      <w:pPr>
        <w:pStyle w:val="Tabletext"/>
        <w:numPr>
          <w:ilvl w:val="0"/>
          <w:numId w:val="18"/>
        </w:numPr>
        <w:tabs>
          <w:tab w:val="left" w:pos="2160"/>
        </w:tabs>
        <w:rPr>
          <w:sz w:val="24"/>
          <w:szCs w:val="24"/>
        </w:rPr>
      </w:pPr>
      <w:r>
        <w:rPr>
          <w:sz w:val="24"/>
          <w:szCs w:val="24"/>
        </w:rPr>
        <w:t>Lender Liability  1988 &amp; 2011 – Forum for  Bank Credit and Loan Officers</w:t>
      </w:r>
    </w:p>
    <w:p w:rsidR="00CE0F8F" w:rsidRDefault="00CE0F8F" w:rsidP="00CE0F8F">
      <w:pPr>
        <w:pStyle w:val="Tabletext"/>
        <w:numPr>
          <w:ilvl w:val="0"/>
          <w:numId w:val="18"/>
        </w:numPr>
        <w:tabs>
          <w:tab w:val="left" w:pos="2160"/>
        </w:tabs>
        <w:rPr>
          <w:sz w:val="24"/>
          <w:szCs w:val="24"/>
        </w:rPr>
      </w:pPr>
      <w:r>
        <w:rPr>
          <w:sz w:val="24"/>
          <w:szCs w:val="24"/>
        </w:rPr>
        <w:t>Financing Vessels, Trains and Planes – ACFA CLE 1999</w:t>
      </w:r>
    </w:p>
    <w:p w:rsidR="00CE0F8F" w:rsidRDefault="00CE0F8F" w:rsidP="00CE0F8F">
      <w:pPr>
        <w:pStyle w:val="Tabletext"/>
        <w:numPr>
          <w:ilvl w:val="0"/>
          <w:numId w:val="18"/>
        </w:numPr>
        <w:tabs>
          <w:tab w:val="left" w:pos="2160"/>
        </w:tabs>
        <w:rPr>
          <w:sz w:val="24"/>
          <w:szCs w:val="24"/>
        </w:rPr>
      </w:pPr>
      <w:r>
        <w:rPr>
          <w:sz w:val="24"/>
          <w:szCs w:val="24"/>
        </w:rPr>
        <w:t>Demand Notes and Negotiable Instruments – ACFA CLE 2000</w:t>
      </w:r>
    </w:p>
    <w:p w:rsidR="00CE0F8F" w:rsidRDefault="00CE0F8F" w:rsidP="00CE0F8F">
      <w:pPr>
        <w:pStyle w:val="Tabletext"/>
        <w:numPr>
          <w:ilvl w:val="0"/>
          <w:numId w:val="18"/>
        </w:numPr>
        <w:tabs>
          <w:tab w:val="left" w:pos="2160"/>
        </w:tabs>
        <w:rPr>
          <w:sz w:val="24"/>
          <w:szCs w:val="24"/>
        </w:rPr>
      </w:pPr>
      <w:r>
        <w:rPr>
          <w:sz w:val="24"/>
          <w:szCs w:val="24"/>
        </w:rPr>
        <w:t>Cross Border Transactions – ACFA CLE 2001</w:t>
      </w:r>
    </w:p>
    <w:p w:rsidR="00CE0F8F" w:rsidRDefault="00CE0F8F" w:rsidP="00CE0F8F">
      <w:pPr>
        <w:pStyle w:val="Tabletext"/>
        <w:numPr>
          <w:ilvl w:val="0"/>
          <w:numId w:val="18"/>
        </w:numPr>
        <w:tabs>
          <w:tab w:val="left" w:pos="2160"/>
        </w:tabs>
        <w:rPr>
          <w:sz w:val="24"/>
          <w:szCs w:val="24"/>
        </w:rPr>
      </w:pPr>
      <w:r>
        <w:rPr>
          <w:sz w:val="24"/>
          <w:szCs w:val="24"/>
        </w:rPr>
        <w:t>Revised Article 9 – ACFA CLE 2003</w:t>
      </w:r>
    </w:p>
    <w:p w:rsidR="00CE0F8F" w:rsidRDefault="00CE0F8F" w:rsidP="00CE0F8F">
      <w:pPr>
        <w:pStyle w:val="Tabletext"/>
        <w:numPr>
          <w:ilvl w:val="0"/>
          <w:numId w:val="18"/>
        </w:numPr>
        <w:tabs>
          <w:tab w:val="left" w:pos="2160"/>
        </w:tabs>
        <w:rPr>
          <w:sz w:val="24"/>
          <w:szCs w:val="24"/>
        </w:rPr>
      </w:pPr>
      <w:r>
        <w:rPr>
          <w:sz w:val="24"/>
          <w:szCs w:val="24"/>
        </w:rPr>
        <w:t xml:space="preserve">Sarbanes Oxley/FASB: Impact on Financial Covenants and </w:t>
      </w:r>
      <w:r w:rsidR="00B9496C">
        <w:rPr>
          <w:sz w:val="24"/>
          <w:szCs w:val="24"/>
        </w:rPr>
        <w:t>Guaranties</w:t>
      </w:r>
      <w:r>
        <w:rPr>
          <w:sz w:val="24"/>
          <w:szCs w:val="24"/>
        </w:rPr>
        <w:t xml:space="preserve"> – ACFA CLE 2004</w:t>
      </w:r>
    </w:p>
    <w:p w:rsidR="00CE0F8F" w:rsidRDefault="00CE0F8F" w:rsidP="00CE0F8F">
      <w:pPr>
        <w:pStyle w:val="Tabletext"/>
        <w:numPr>
          <w:ilvl w:val="0"/>
          <w:numId w:val="18"/>
        </w:numPr>
        <w:tabs>
          <w:tab w:val="left" w:pos="2160"/>
        </w:tabs>
        <w:rPr>
          <w:sz w:val="24"/>
          <w:szCs w:val="24"/>
        </w:rPr>
      </w:pPr>
      <w:r>
        <w:rPr>
          <w:sz w:val="24"/>
          <w:szCs w:val="24"/>
        </w:rPr>
        <w:t>Commercial Loan Documentation CLE - Lorman two day CLE Program 2004</w:t>
      </w:r>
    </w:p>
    <w:p w:rsidR="00CE0F8F" w:rsidRDefault="00CE0F8F" w:rsidP="00CE0F8F">
      <w:pPr>
        <w:pStyle w:val="Tabletext"/>
        <w:numPr>
          <w:ilvl w:val="0"/>
          <w:numId w:val="18"/>
        </w:numPr>
        <w:tabs>
          <w:tab w:val="left" w:pos="2160"/>
        </w:tabs>
        <w:rPr>
          <w:sz w:val="24"/>
          <w:szCs w:val="24"/>
        </w:rPr>
      </w:pPr>
      <w:r>
        <w:rPr>
          <w:sz w:val="24"/>
          <w:szCs w:val="24"/>
        </w:rPr>
        <w:t>Health Care Receivable Lending (Private Seminar to Hospitals and Institutional Lenders) – 2006.</w:t>
      </w:r>
    </w:p>
    <w:p w:rsidR="00CE0F8F" w:rsidRDefault="00CE0F8F" w:rsidP="00CE0F8F">
      <w:pPr>
        <w:pStyle w:val="Tabletext"/>
        <w:numPr>
          <w:ilvl w:val="0"/>
          <w:numId w:val="18"/>
        </w:numPr>
        <w:tabs>
          <w:tab w:val="left" w:pos="2160"/>
        </w:tabs>
        <w:rPr>
          <w:sz w:val="24"/>
          <w:szCs w:val="24"/>
        </w:rPr>
      </w:pPr>
      <w:r>
        <w:rPr>
          <w:sz w:val="24"/>
          <w:szCs w:val="24"/>
        </w:rPr>
        <w:t>Navigating Uncharted Financial Waters – Int’l Bank Auditors  2010</w:t>
      </w:r>
    </w:p>
    <w:p w:rsidR="00CE0F8F" w:rsidRDefault="00CE0F8F" w:rsidP="00CE0F8F">
      <w:pPr>
        <w:pStyle w:val="Tabletext"/>
        <w:numPr>
          <w:ilvl w:val="0"/>
          <w:numId w:val="18"/>
        </w:numPr>
        <w:tabs>
          <w:tab w:val="left" w:pos="2160"/>
        </w:tabs>
        <w:rPr>
          <w:sz w:val="24"/>
          <w:szCs w:val="24"/>
        </w:rPr>
      </w:pPr>
      <w:r>
        <w:rPr>
          <w:sz w:val="24"/>
          <w:szCs w:val="24"/>
        </w:rPr>
        <w:lastRenderedPageBreak/>
        <w:t>Best Practices in Commercial Credit Risk Management  Article – PA Bankers Association 2010</w:t>
      </w:r>
    </w:p>
    <w:p w:rsidR="00CE0F8F" w:rsidRDefault="00CE0F8F" w:rsidP="00CE0F8F">
      <w:pPr>
        <w:pStyle w:val="Tabletext"/>
        <w:numPr>
          <w:ilvl w:val="0"/>
          <w:numId w:val="18"/>
        </w:numPr>
        <w:tabs>
          <w:tab w:val="left" w:pos="2160"/>
        </w:tabs>
        <w:rPr>
          <w:sz w:val="24"/>
          <w:szCs w:val="24"/>
        </w:rPr>
      </w:pPr>
      <w:r>
        <w:rPr>
          <w:sz w:val="24"/>
          <w:szCs w:val="24"/>
        </w:rPr>
        <w:t>ALLL Best Practices- NJ Bankers Association Seminar  2012</w:t>
      </w:r>
    </w:p>
    <w:p w:rsidR="00CE0F8F" w:rsidRDefault="00CE0F8F" w:rsidP="00CE0F8F">
      <w:pPr>
        <w:pStyle w:val="Tabletext"/>
        <w:numPr>
          <w:ilvl w:val="0"/>
          <w:numId w:val="18"/>
        </w:numPr>
        <w:tabs>
          <w:tab w:val="left" w:pos="2160"/>
        </w:tabs>
        <w:rPr>
          <w:sz w:val="24"/>
          <w:szCs w:val="24"/>
        </w:rPr>
      </w:pPr>
      <w:r>
        <w:rPr>
          <w:sz w:val="24"/>
          <w:szCs w:val="24"/>
        </w:rPr>
        <w:t>Special Assets and TDRs – Seminar for Delaware Valley Bankers 2012</w:t>
      </w:r>
    </w:p>
    <w:p w:rsidR="00CE0F8F" w:rsidRPr="00A47AAC" w:rsidRDefault="00CE0F8F" w:rsidP="00CE0F8F">
      <w:pPr>
        <w:pStyle w:val="Tabletext"/>
        <w:numPr>
          <w:ilvl w:val="0"/>
          <w:numId w:val="18"/>
        </w:numPr>
        <w:tabs>
          <w:tab w:val="left" w:pos="2160"/>
        </w:tabs>
        <w:spacing w:after="120"/>
        <w:rPr>
          <w:b/>
          <w:sz w:val="24"/>
          <w:szCs w:val="24"/>
        </w:rPr>
      </w:pPr>
      <w:r w:rsidRPr="00A47AAC">
        <w:rPr>
          <w:sz w:val="24"/>
          <w:szCs w:val="24"/>
        </w:rPr>
        <w:t>Holistic GRC Trends and Best Practices – 1 Day Presentation to State Bank Examiners Conference 2012</w:t>
      </w:r>
    </w:p>
    <w:p w:rsidR="00CE0F8F" w:rsidRDefault="00CE0F8F" w:rsidP="00CE0F8F">
      <w:pPr>
        <w:pStyle w:val="00Normal"/>
        <w:spacing w:after="120"/>
        <w:rPr>
          <w:b/>
        </w:rPr>
      </w:pPr>
      <w:r>
        <w:rPr>
          <w:b/>
        </w:rPr>
        <w:t>CHARITABLE AND CIVIC ORGANIZATIONS:</w:t>
      </w:r>
    </w:p>
    <w:p w:rsidR="00CE0F8F" w:rsidRDefault="00CE0F8F" w:rsidP="00CE0F8F">
      <w:pPr>
        <w:pStyle w:val="00BulletList"/>
        <w:numPr>
          <w:ilvl w:val="0"/>
          <w:numId w:val="6"/>
        </w:numPr>
        <w:tabs>
          <w:tab w:val="num" w:pos="337"/>
        </w:tabs>
        <w:ind w:left="337" w:hanging="337"/>
        <w:jc w:val="both"/>
      </w:pPr>
      <w:r>
        <w:t>Board of American Liver Foundation (Past Co-chairman and President of the Delaware Chapter of the American Liver Foundation)</w:t>
      </w:r>
    </w:p>
    <w:p w:rsidR="00CE0F8F" w:rsidRDefault="00CE0F8F" w:rsidP="00CE0F8F">
      <w:pPr>
        <w:pStyle w:val="00BulletList"/>
        <w:numPr>
          <w:ilvl w:val="0"/>
          <w:numId w:val="6"/>
        </w:numPr>
        <w:tabs>
          <w:tab w:val="num" w:pos="337"/>
        </w:tabs>
        <w:ind w:left="337" w:hanging="337"/>
        <w:rPr>
          <w:b/>
        </w:rPr>
      </w:pPr>
      <w:r>
        <w:t>Board Member of the Philadelphia Orchestra, Corporate Council Committee</w:t>
      </w:r>
    </w:p>
    <w:p w:rsidR="00CE0F8F" w:rsidRDefault="00CE0F8F" w:rsidP="00CE0F8F">
      <w:pPr>
        <w:pStyle w:val="00BulletList"/>
        <w:numPr>
          <w:ilvl w:val="0"/>
          <w:numId w:val="6"/>
        </w:numPr>
        <w:tabs>
          <w:tab w:val="num" w:pos="337"/>
        </w:tabs>
        <w:ind w:left="337" w:hanging="337"/>
        <w:rPr>
          <w:b/>
        </w:rPr>
      </w:pPr>
      <w:r>
        <w:t>Co-chairman of the Philadelphia Orchestra New Jersey Fund Raising Committee, Founder of Children’s Outreach Program</w:t>
      </w:r>
    </w:p>
    <w:p w:rsidR="00CE0F8F" w:rsidRDefault="00CE0F8F" w:rsidP="00CE0F8F">
      <w:pPr>
        <w:pStyle w:val="00BulletList"/>
        <w:numPr>
          <w:ilvl w:val="0"/>
          <w:numId w:val="6"/>
        </w:numPr>
        <w:tabs>
          <w:tab w:val="num" w:pos="337"/>
        </w:tabs>
        <w:ind w:left="337" w:hanging="337"/>
        <w:rPr>
          <w:b/>
        </w:rPr>
      </w:pPr>
      <w:r>
        <w:t>Past Trustee of Cooper Foundation, Cooper University Medical Center Camden</w:t>
      </w:r>
    </w:p>
    <w:p w:rsidR="00CE0F8F" w:rsidRDefault="00CE0F8F" w:rsidP="00CE0F8F">
      <w:pPr>
        <w:pStyle w:val="00BulletList"/>
        <w:numPr>
          <w:ilvl w:val="0"/>
          <w:numId w:val="6"/>
        </w:numPr>
        <w:tabs>
          <w:tab w:val="num" w:pos="337"/>
        </w:tabs>
        <w:ind w:left="337" w:hanging="337"/>
        <w:rPr>
          <w:b/>
        </w:rPr>
      </w:pPr>
      <w:r>
        <w:t>Past Board Member of Hal Prince American Music Theatre Festival</w:t>
      </w:r>
    </w:p>
    <w:p w:rsidR="00CE0F8F" w:rsidRDefault="00CE0F8F" w:rsidP="00CE0F8F">
      <w:pPr>
        <w:pStyle w:val="00BulletList"/>
        <w:numPr>
          <w:ilvl w:val="0"/>
          <w:numId w:val="6"/>
        </w:numPr>
        <w:tabs>
          <w:tab w:val="num" w:pos="337"/>
        </w:tabs>
        <w:ind w:left="337" w:hanging="337"/>
        <w:rPr>
          <w:b/>
        </w:rPr>
      </w:pPr>
      <w:r>
        <w:t>Fundraising Committee Moorestown Friends School</w:t>
      </w:r>
    </w:p>
    <w:p w:rsidR="00CE0F8F" w:rsidRDefault="00CE0F8F" w:rsidP="00CE0F8F">
      <w:pPr>
        <w:pStyle w:val="00BulletList"/>
        <w:numPr>
          <w:ilvl w:val="0"/>
          <w:numId w:val="0"/>
        </w:numPr>
        <w:tabs>
          <w:tab w:val="num" w:pos="337"/>
        </w:tabs>
        <w:ind w:left="360"/>
      </w:pPr>
      <w:r>
        <w:t>Outreach Minister (“Good Financial Sense”) for Fellowship Alliance Church</w:t>
      </w:r>
    </w:p>
    <w:p w:rsidR="00CE0F8F" w:rsidRDefault="00CE0F8F" w:rsidP="00313107">
      <w:pPr>
        <w:pStyle w:val="00BulletList"/>
        <w:numPr>
          <w:ilvl w:val="0"/>
          <w:numId w:val="0"/>
        </w:numPr>
        <w:ind w:left="1080" w:hanging="720"/>
        <w:rPr>
          <w:sz w:val="20"/>
          <w:szCs w:val="20"/>
        </w:rPr>
      </w:pPr>
    </w:p>
    <w:p w:rsidR="00313107" w:rsidRPr="00313107" w:rsidRDefault="00313107" w:rsidP="00CE0F8F">
      <w:pPr>
        <w:spacing w:after="200" w:line="276" w:lineRule="auto"/>
        <w:rPr>
          <w:rFonts w:asciiTheme="minorHAnsi" w:eastAsiaTheme="minorHAnsi" w:hAnsiTheme="minorHAnsi" w:cstheme="minorBidi"/>
          <w:color w:val="auto"/>
          <w:kern w:val="0"/>
          <w:sz w:val="22"/>
          <w:szCs w:val="22"/>
        </w:rPr>
      </w:pPr>
      <w:r w:rsidRPr="00CE0F8F">
        <w:rPr>
          <w:rFonts w:eastAsiaTheme="minorHAnsi"/>
          <w:b/>
          <w:color w:val="auto"/>
          <w:kern w:val="0"/>
          <w:sz w:val="24"/>
          <w:szCs w:val="24"/>
        </w:rPr>
        <w:t>EXPERT EXPERIENCE AND REFERENCES</w:t>
      </w:r>
    </w:p>
    <w:p w:rsidR="00313107" w:rsidRPr="00A47AAC" w:rsidRDefault="00B9496C" w:rsidP="00313107">
      <w:pPr>
        <w:spacing w:after="200" w:line="276" w:lineRule="auto"/>
        <w:jc w:val="both"/>
        <w:rPr>
          <w:rFonts w:eastAsiaTheme="minorHAnsi"/>
          <w:color w:val="auto"/>
          <w:kern w:val="0"/>
          <w:sz w:val="24"/>
          <w:szCs w:val="24"/>
        </w:rPr>
      </w:pPr>
      <w:r>
        <w:rPr>
          <w:rFonts w:eastAsiaTheme="minorHAnsi"/>
          <w:color w:val="auto"/>
          <w:kern w:val="0"/>
          <w:sz w:val="24"/>
          <w:szCs w:val="24"/>
        </w:rPr>
        <w:t xml:space="preserve">Among other litigations, </w:t>
      </w:r>
      <w:r w:rsidR="00313107" w:rsidRPr="00A47AAC">
        <w:rPr>
          <w:rFonts w:eastAsiaTheme="minorHAnsi"/>
          <w:color w:val="auto"/>
          <w:kern w:val="0"/>
          <w:sz w:val="24"/>
          <w:szCs w:val="24"/>
        </w:rPr>
        <w:t>Mr. Leibundgut has provided expert</w:t>
      </w:r>
      <w:r w:rsidR="00106C68" w:rsidRPr="00A47AAC">
        <w:rPr>
          <w:rFonts w:eastAsiaTheme="minorHAnsi"/>
          <w:color w:val="auto"/>
          <w:kern w:val="0"/>
          <w:sz w:val="24"/>
          <w:szCs w:val="24"/>
        </w:rPr>
        <w:t xml:space="preserve"> testimony</w:t>
      </w:r>
      <w:r w:rsidR="00313107" w:rsidRPr="00A47AAC">
        <w:rPr>
          <w:rFonts w:eastAsiaTheme="minorHAnsi"/>
          <w:color w:val="auto"/>
          <w:kern w:val="0"/>
          <w:sz w:val="24"/>
          <w:szCs w:val="24"/>
        </w:rPr>
        <w:t>, litigation support and dispute resolution services in the following matters since retiring from the practice of law in April of 2008:</w:t>
      </w:r>
    </w:p>
    <w:p w:rsidR="00313107" w:rsidRPr="00A47AAC" w:rsidRDefault="00313107"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FDIC forensic commercial file review in connection with the seizure of Main Street Bank. Engagement focused on fraud and gross negligence of bank senior management and board. Reports provided and deposition testimony rendered. Uncovered major fraud against Fannie Mae in which the bank’s senior lender participated.</w:t>
      </w:r>
    </w:p>
    <w:p w:rsidR="00B95D98" w:rsidRPr="00A47AAC" w:rsidRDefault="00B95D98"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Represented minority shareholders in shareholder derivative action. Deposition taken and testimony provided.</w:t>
      </w:r>
    </w:p>
    <w:p w:rsidR="00313107" w:rsidRPr="00A47AAC" w:rsidRDefault="00313107"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 xml:space="preserve">Represented borrowing entity in case against Compass Bank and parent BBVA for violation/abuse of Purchase and Assumption Agreement and Shared-Loss procedures. Facilitated amicable and successful settlement of case protecting borrowers’ $33MM equity investment and release of principals’ guaranties. Worked with FDIC legal/enforcement group in connection with case. </w:t>
      </w:r>
    </w:p>
    <w:p w:rsidR="00313107" w:rsidRPr="00A47AAC" w:rsidRDefault="00313107"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 xml:space="preserve">Legal malpractice case against bankruptcy attorney/firm. </w:t>
      </w:r>
      <w:r w:rsidR="00A13356" w:rsidRPr="00A47AAC">
        <w:rPr>
          <w:rFonts w:eastAsiaTheme="minorHAnsi"/>
          <w:color w:val="auto"/>
          <w:kern w:val="0"/>
          <w:sz w:val="24"/>
          <w:szCs w:val="24"/>
        </w:rPr>
        <w:t>Case settled after rendering report.</w:t>
      </w:r>
    </w:p>
    <w:p w:rsidR="00313107" w:rsidRPr="00A47AAC" w:rsidRDefault="00313107"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Worked in conjunction with ICS Compliance (in which he was a Managing Director) and lead counsel, Conrad &amp; Scherer (representing investors),  providing forensic analysis and due diligence in Rothstein ponzi scheme case in Florida resulting in $175MM settlement with TD Bank (f/k/a Commerce Bank NA).</w:t>
      </w:r>
      <w:r w:rsidR="00B95D98" w:rsidRPr="00A47AAC">
        <w:rPr>
          <w:rFonts w:eastAsiaTheme="minorHAnsi"/>
          <w:color w:val="auto"/>
          <w:kern w:val="0"/>
          <w:sz w:val="24"/>
          <w:szCs w:val="24"/>
        </w:rPr>
        <w:t xml:space="preserve"> Testimony Provided.</w:t>
      </w:r>
    </w:p>
    <w:p w:rsidR="00313107" w:rsidRPr="00A47AAC" w:rsidRDefault="00313107"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 xml:space="preserve">Represented Stuart Title in case of first impression defending a claim by a judgment creditor against lender seeking equitable subordination of bank’s first liens on realty and </w:t>
      </w:r>
      <w:r w:rsidRPr="00A47AAC">
        <w:rPr>
          <w:rFonts w:eastAsiaTheme="minorHAnsi"/>
          <w:color w:val="auto"/>
          <w:kern w:val="0"/>
          <w:sz w:val="24"/>
          <w:szCs w:val="24"/>
        </w:rPr>
        <w:lastRenderedPageBreak/>
        <w:t>personalty by virtue of extending a credit facility which clearly violated bank’s lending policy.  Detailed report rendered and deposition taken.  Case resolved favorably on summary judgment.</w:t>
      </w:r>
    </w:p>
    <w:p w:rsidR="00313107" w:rsidRPr="00A47AAC" w:rsidRDefault="00B95D98"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A</w:t>
      </w:r>
      <w:r w:rsidR="00313107" w:rsidRPr="00A47AAC">
        <w:rPr>
          <w:rFonts w:eastAsiaTheme="minorHAnsi"/>
          <w:color w:val="auto"/>
          <w:kern w:val="0"/>
          <w:sz w:val="24"/>
          <w:szCs w:val="24"/>
        </w:rPr>
        <w:t>pproved by Trustee in Bankruptcy in a component of the Petter</w:t>
      </w:r>
      <w:r w:rsidR="0058256B" w:rsidRPr="00A47AAC">
        <w:rPr>
          <w:rFonts w:eastAsiaTheme="minorHAnsi"/>
          <w:color w:val="auto"/>
          <w:kern w:val="0"/>
          <w:sz w:val="24"/>
          <w:szCs w:val="24"/>
        </w:rPr>
        <w:t>’</w:t>
      </w:r>
      <w:r w:rsidR="00313107" w:rsidRPr="00A47AAC">
        <w:rPr>
          <w:rFonts w:eastAsiaTheme="minorHAnsi"/>
          <w:color w:val="auto"/>
          <w:kern w:val="0"/>
          <w:sz w:val="24"/>
          <w:szCs w:val="24"/>
        </w:rPr>
        <w:t xml:space="preserve">s ponzi scheme case seeking recovery from Petters family trust, third parties and certain banks. Case involves deviation from standards in the industry, good faith and fiduciary responsibilities in purchase order, asset based, bankruptcy remote trade receivable securitization and factoring structure. Case </w:t>
      </w:r>
      <w:r w:rsidR="00E274C6" w:rsidRPr="00A47AAC">
        <w:rPr>
          <w:rFonts w:eastAsiaTheme="minorHAnsi"/>
          <w:color w:val="auto"/>
          <w:kern w:val="0"/>
          <w:sz w:val="24"/>
          <w:szCs w:val="24"/>
        </w:rPr>
        <w:t>settled.</w:t>
      </w:r>
    </w:p>
    <w:p w:rsidR="00313107" w:rsidRPr="00A47AAC" w:rsidRDefault="00313107"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Provided deposition and court testimony in shareholder derivative claim involving fraud.  Case resulted in favorable judgment.</w:t>
      </w:r>
    </w:p>
    <w:p w:rsidR="00313107" w:rsidRPr="00A47AAC" w:rsidRDefault="00313107"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Certified as an expert and represented two other borrowing groups in FDIC shared-loss abuse cases resulting in amicable settlements after reports delivered and settlement meetings attended.</w:t>
      </w:r>
    </w:p>
    <w:p w:rsidR="007B58C1" w:rsidRPr="00A47AAC" w:rsidRDefault="00A723FF"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 xml:space="preserve">Represented Co-Arranger, Co-Syndication Agent in actions brought by the Trustee of the Le-Nature’s Liquidation trust in connection with the Le-Nature’s </w:t>
      </w:r>
      <w:r w:rsidR="00B9496C">
        <w:rPr>
          <w:rFonts w:eastAsiaTheme="minorHAnsi"/>
          <w:color w:val="auto"/>
          <w:kern w:val="0"/>
          <w:sz w:val="24"/>
          <w:szCs w:val="24"/>
        </w:rPr>
        <w:t xml:space="preserve">$880MM </w:t>
      </w:r>
      <w:r w:rsidRPr="00A47AAC">
        <w:rPr>
          <w:rFonts w:eastAsiaTheme="minorHAnsi"/>
          <w:color w:val="auto"/>
          <w:kern w:val="0"/>
          <w:sz w:val="24"/>
          <w:szCs w:val="24"/>
        </w:rPr>
        <w:t>Ponzi scheme case.  Report rendered and case settled.</w:t>
      </w:r>
    </w:p>
    <w:p w:rsidR="00A723FF" w:rsidRDefault="007B58C1" w:rsidP="00313107">
      <w:pPr>
        <w:numPr>
          <w:ilvl w:val="0"/>
          <w:numId w:val="3"/>
        </w:numPr>
        <w:spacing w:after="200" w:line="276" w:lineRule="auto"/>
        <w:contextualSpacing/>
        <w:jc w:val="both"/>
        <w:rPr>
          <w:rFonts w:eastAsiaTheme="minorHAnsi"/>
          <w:color w:val="auto"/>
          <w:kern w:val="0"/>
          <w:sz w:val="24"/>
          <w:szCs w:val="24"/>
        </w:rPr>
      </w:pPr>
      <w:r w:rsidRPr="00A47AAC">
        <w:rPr>
          <w:rFonts w:eastAsiaTheme="minorHAnsi"/>
          <w:color w:val="auto"/>
          <w:kern w:val="0"/>
          <w:sz w:val="24"/>
          <w:szCs w:val="24"/>
        </w:rPr>
        <w:t xml:space="preserve">Represented law firm and City of Burlington Vermont in defending an action by CitiBank to recover </w:t>
      </w:r>
      <w:r w:rsidR="0035489A" w:rsidRPr="00A47AAC">
        <w:rPr>
          <w:rFonts w:eastAsiaTheme="minorHAnsi"/>
          <w:color w:val="auto"/>
          <w:kern w:val="0"/>
          <w:sz w:val="24"/>
          <w:szCs w:val="24"/>
        </w:rPr>
        <w:t>deficiency</w:t>
      </w:r>
      <w:r w:rsidRPr="00A47AAC">
        <w:rPr>
          <w:rFonts w:eastAsiaTheme="minorHAnsi"/>
          <w:color w:val="auto"/>
          <w:kern w:val="0"/>
          <w:sz w:val="24"/>
          <w:szCs w:val="24"/>
        </w:rPr>
        <w:t xml:space="preserve"> under a</w:t>
      </w:r>
      <w:r w:rsidR="0035489A" w:rsidRPr="00A47AAC">
        <w:rPr>
          <w:rFonts w:eastAsiaTheme="minorHAnsi"/>
          <w:color w:val="auto"/>
          <w:kern w:val="0"/>
          <w:sz w:val="24"/>
          <w:szCs w:val="24"/>
        </w:rPr>
        <w:t xml:space="preserve"> defaulted </w:t>
      </w:r>
      <w:r w:rsidRPr="00A47AAC">
        <w:rPr>
          <w:rFonts w:eastAsiaTheme="minorHAnsi"/>
          <w:color w:val="auto"/>
          <w:kern w:val="0"/>
          <w:sz w:val="24"/>
          <w:szCs w:val="24"/>
        </w:rPr>
        <w:t>tax-free non-appropriation municipal lease</w:t>
      </w:r>
      <w:r w:rsidR="0035489A" w:rsidRPr="00A47AAC">
        <w:rPr>
          <w:rFonts w:eastAsiaTheme="minorHAnsi"/>
          <w:color w:val="auto"/>
          <w:kern w:val="0"/>
          <w:sz w:val="24"/>
          <w:szCs w:val="24"/>
        </w:rPr>
        <w:t xml:space="preserve"> for high speed cable and internet system. Case settled after rendering Report.</w:t>
      </w:r>
      <w:r w:rsidR="00A723FF" w:rsidRPr="00A47AAC">
        <w:rPr>
          <w:rFonts w:eastAsiaTheme="minorHAnsi"/>
          <w:color w:val="auto"/>
          <w:kern w:val="0"/>
          <w:sz w:val="24"/>
          <w:szCs w:val="24"/>
        </w:rPr>
        <w:t xml:space="preserve">  </w:t>
      </w:r>
    </w:p>
    <w:p w:rsidR="00B9496C" w:rsidRDefault="00B9496C" w:rsidP="00313107">
      <w:pPr>
        <w:numPr>
          <w:ilvl w:val="0"/>
          <w:numId w:val="3"/>
        </w:numPr>
        <w:spacing w:after="200" w:line="276" w:lineRule="auto"/>
        <w:contextualSpacing/>
        <w:jc w:val="both"/>
        <w:rPr>
          <w:rFonts w:eastAsiaTheme="minorHAnsi"/>
          <w:color w:val="auto"/>
          <w:kern w:val="0"/>
          <w:sz w:val="24"/>
          <w:szCs w:val="24"/>
        </w:rPr>
      </w:pPr>
      <w:r>
        <w:rPr>
          <w:rFonts w:eastAsiaTheme="minorHAnsi"/>
          <w:color w:val="auto"/>
          <w:kern w:val="0"/>
          <w:sz w:val="24"/>
          <w:szCs w:val="24"/>
        </w:rPr>
        <w:t>Represented Lloyds of London in a residential real estate case defending ReMax.</w:t>
      </w:r>
    </w:p>
    <w:p w:rsidR="00B9496C" w:rsidRDefault="00B9496C" w:rsidP="00313107">
      <w:pPr>
        <w:numPr>
          <w:ilvl w:val="0"/>
          <w:numId w:val="3"/>
        </w:numPr>
        <w:spacing w:after="200" w:line="276" w:lineRule="auto"/>
        <w:contextualSpacing/>
        <w:jc w:val="both"/>
        <w:rPr>
          <w:rFonts w:eastAsiaTheme="minorHAnsi"/>
          <w:color w:val="auto"/>
          <w:kern w:val="0"/>
          <w:sz w:val="24"/>
          <w:szCs w:val="24"/>
        </w:rPr>
      </w:pPr>
      <w:r>
        <w:rPr>
          <w:rFonts w:eastAsiaTheme="minorHAnsi"/>
          <w:color w:val="auto"/>
          <w:kern w:val="0"/>
          <w:sz w:val="24"/>
          <w:szCs w:val="24"/>
        </w:rPr>
        <w:t>Represents a national mortgage company in a suit against Bank of America as a servicer of residential mortgages for breach of the servicing agreement and non-compliance.</w:t>
      </w:r>
    </w:p>
    <w:p w:rsidR="00B9496C" w:rsidRPr="00A47AAC" w:rsidRDefault="00B9496C" w:rsidP="00313107">
      <w:pPr>
        <w:numPr>
          <w:ilvl w:val="0"/>
          <w:numId w:val="3"/>
        </w:numPr>
        <w:spacing w:after="200" w:line="276" w:lineRule="auto"/>
        <w:contextualSpacing/>
        <w:jc w:val="both"/>
        <w:rPr>
          <w:rFonts w:eastAsiaTheme="minorHAnsi"/>
          <w:color w:val="auto"/>
          <w:kern w:val="0"/>
          <w:sz w:val="24"/>
          <w:szCs w:val="24"/>
        </w:rPr>
      </w:pPr>
      <w:r>
        <w:rPr>
          <w:rFonts w:eastAsiaTheme="minorHAnsi"/>
          <w:color w:val="auto"/>
          <w:kern w:val="0"/>
          <w:sz w:val="24"/>
          <w:szCs w:val="24"/>
        </w:rPr>
        <w:t>Represents pastor and church in fraud suit against real estate development partner in connection with the Metropolitan Opera House redevelopment project in Philadelphia.</w:t>
      </w:r>
    </w:p>
    <w:p w:rsidR="00E274C6" w:rsidRPr="00A47AAC" w:rsidRDefault="00E274C6" w:rsidP="00E274C6">
      <w:pPr>
        <w:spacing w:after="200" w:line="276" w:lineRule="auto"/>
        <w:ind w:left="360"/>
        <w:contextualSpacing/>
        <w:jc w:val="both"/>
        <w:rPr>
          <w:rFonts w:eastAsiaTheme="minorHAnsi"/>
          <w:color w:val="auto"/>
          <w:kern w:val="0"/>
          <w:sz w:val="24"/>
          <w:szCs w:val="24"/>
        </w:rPr>
      </w:pPr>
    </w:p>
    <w:p w:rsidR="00313107" w:rsidRPr="00A47AAC" w:rsidRDefault="00313107" w:rsidP="00313107">
      <w:pPr>
        <w:spacing w:after="200" w:line="276" w:lineRule="auto"/>
        <w:jc w:val="both"/>
        <w:rPr>
          <w:rFonts w:eastAsiaTheme="minorHAnsi"/>
          <w:color w:val="auto"/>
          <w:kern w:val="0"/>
          <w:sz w:val="24"/>
          <w:szCs w:val="24"/>
        </w:rPr>
      </w:pPr>
      <w:r w:rsidRPr="00A47AAC">
        <w:rPr>
          <w:rFonts w:eastAsiaTheme="minorHAnsi"/>
          <w:color w:val="auto"/>
          <w:kern w:val="0"/>
          <w:sz w:val="24"/>
          <w:szCs w:val="24"/>
        </w:rPr>
        <w:t>In addition to the above matters, Mr. Leibundgut has been deposed on many instances over the years principally in connection</w:t>
      </w:r>
      <w:r w:rsidR="00CA0097" w:rsidRPr="00A47AAC">
        <w:rPr>
          <w:rFonts w:eastAsiaTheme="minorHAnsi"/>
          <w:color w:val="auto"/>
          <w:kern w:val="0"/>
          <w:sz w:val="24"/>
          <w:szCs w:val="24"/>
        </w:rPr>
        <w:t xml:space="preserve"> with lending issues in the private and public sectors,</w:t>
      </w:r>
      <w:r w:rsidRPr="00A47AAC">
        <w:rPr>
          <w:rFonts w:eastAsiaTheme="minorHAnsi"/>
          <w:color w:val="auto"/>
          <w:kern w:val="0"/>
          <w:sz w:val="24"/>
          <w:szCs w:val="24"/>
        </w:rPr>
        <w:t xml:space="preserve"> </w:t>
      </w:r>
      <w:r w:rsidR="0035489A" w:rsidRPr="00A47AAC">
        <w:rPr>
          <w:rFonts w:eastAsiaTheme="minorHAnsi"/>
          <w:color w:val="auto"/>
          <w:kern w:val="0"/>
          <w:sz w:val="24"/>
          <w:szCs w:val="24"/>
        </w:rPr>
        <w:t>financial contracts and</w:t>
      </w:r>
      <w:r w:rsidRPr="00A47AAC">
        <w:rPr>
          <w:rFonts w:eastAsiaTheme="minorHAnsi"/>
          <w:color w:val="auto"/>
          <w:kern w:val="0"/>
          <w:sz w:val="24"/>
          <w:szCs w:val="24"/>
        </w:rPr>
        <w:t xml:space="preserve"> restructured loans in bankruptcy</w:t>
      </w:r>
      <w:r w:rsidR="00A13356" w:rsidRPr="00A47AAC">
        <w:rPr>
          <w:rFonts w:eastAsiaTheme="minorHAnsi"/>
          <w:color w:val="auto"/>
          <w:kern w:val="0"/>
          <w:sz w:val="24"/>
          <w:szCs w:val="24"/>
        </w:rPr>
        <w:t>.</w:t>
      </w:r>
      <w:r w:rsidRPr="00A47AAC">
        <w:rPr>
          <w:rFonts w:eastAsiaTheme="minorHAnsi"/>
          <w:color w:val="auto"/>
          <w:kern w:val="0"/>
          <w:sz w:val="24"/>
          <w:szCs w:val="24"/>
        </w:rPr>
        <w:t xml:space="preserve"> He has also given testimony to various government agencies and committees involving the proposed revision to the Bankruptcy Code, Revised Article 9 of the Uniform Commercial Code and the Rating Agencies on matters pertaining to public finance. </w:t>
      </w:r>
    </w:p>
    <w:p w:rsidR="00CE0F8F" w:rsidRDefault="00CE0F8F" w:rsidP="00BE2F0E">
      <w:pPr>
        <w:ind w:left="720"/>
        <w:jc w:val="center"/>
        <w:rPr>
          <w:rFonts w:asciiTheme="minorHAnsi" w:hAnsiTheme="minorHAnsi" w:cstheme="minorHAnsi"/>
          <w:color w:val="auto"/>
          <w:kern w:val="0"/>
          <w:sz w:val="24"/>
          <w:szCs w:val="24"/>
        </w:rPr>
      </w:pPr>
      <w:r w:rsidRPr="00A47AAC">
        <w:rPr>
          <w:rFonts w:asciiTheme="minorHAnsi" w:hAnsiTheme="minorHAnsi" w:cstheme="minorHAnsi"/>
          <w:color w:val="auto"/>
          <w:kern w:val="0"/>
          <w:sz w:val="24"/>
          <w:szCs w:val="24"/>
        </w:rPr>
        <w:t>Mr. Leibundgut is a Participant in TREWS, TASA, ALM Experts and has been vetted and approved to represent the FDIC, SEC and Justice Departments.</w:t>
      </w:r>
    </w:p>
    <w:p w:rsidR="00E021E0" w:rsidRDefault="00E021E0" w:rsidP="00BE2F0E">
      <w:pPr>
        <w:ind w:left="720"/>
        <w:jc w:val="center"/>
        <w:rPr>
          <w:rFonts w:asciiTheme="minorHAnsi" w:hAnsiTheme="minorHAnsi" w:cstheme="minorHAnsi"/>
          <w:color w:val="auto"/>
          <w:kern w:val="0"/>
          <w:sz w:val="24"/>
          <w:szCs w:val="24"/>
        </w:rPr>
      </w:pPr>
    </w:p>
    <w:p w:rsidR="00E021E0" w:rsidRPr="00A47AAC" w:rsidRDefault="00E021E0" w:rsidP="00BE2F0E">
      <w:pPr>
        <w:ind w:left="720"/>
        <w:jc w:val="center"/>
        <w:rPr>
          <w:rFonts w:eastAsiaTheme="minorHAnsi"/>
          <w:color w:val="auto"/>
          <w:kern w:val="0"/>
          <w:sz w:val="24"/>
          <w:szCs w:val="24"/>
        </w:rPr>
      </w:pPr>
    </w:p>
    <w:p w:rsidR="00106C68" w:rsidRPr="00A47AAC" w:rsidRDefault="00106C68" w:rsidP="00313107">
      <w:pPr>
        <w:spacing w:after="200" w:line="276" w:lineRule="auto"/>
        <w:jc w:val="both"/>
        <w:rPr>
          <w:rFonts w:eastAsiaTheme="minorHAnsi"/>
          <w:color w:val="auto"/>
          <w:kern w:val="0"/>
          <w:sz w:val="24"/>
          <w:szCs w:val="24"/>
        </w:rPr>
      </w:pPr>
    </w:p>
    <w:p w:rsidR="00313107" w:rsidRPr="00A47AAC" w:rsidRDefault="00313107" w:rsidP="00BE2F0E">
      <w:pPr>
        <w:spacing w:after="200" w:line="276" w:lineRule="auto"/>
        <w:rPr>
          <w:rFonts w:asciiTheme="minorHAnsi" w:eastAsiaTheme="minorHAnsi" w:hAnsiTheme="minorHAnsi" w:cstheme="minorBidi"/>
          <w:color w:val="auto"/>
          <w:kern w:val="0"/>
          <w:sz w:val="24"/>
          <w:szCs w:val="24"/>
        </w:rPr>
      </w:pPr>
      <w:r w:rsidRPr="00A47AAC">
        <w:rPr>
          <w:rFonts w:eastAsiaTheme="minorHAnsi"/>
          <w:b/>
          <w:color w:val="auto"/>
          <w:kern w:val="0"/>
          <w:sz w:val="24"/>
          <w:szCs w:val="24"/>
        </w:rPr>
        <w:t>EXPERT REFERENCES</w:t>
      </w:r>
    </w:p>
    <w:p w:rsidR="00313107" w:rsidRPr="00A47AAC" w:rsidRDefault="00313107" w:rsidP="00313107">
      <w:pPr>
        <w:numPr>
          <w:ilvl w:val="0"/>
          <w:numId w:val="4"/>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Steven Mishan, Esq. </w:t>
      </w:r>
      <w:r w:rsidR="0035489A" w:rsidRPr="00A47AAC">
        <w:rPr>
          <w:rFonts w:eastAsiaTheme="minorHAnsi"/>
          <w:color w:val="auto"/>
          <w:kern w:val="0"/>
          <w:sz w:val="24"/>
          <w:szCs w:val="24"/>
        </w:rPr>
        <w:t>(</w:t>
      </w:r>
      <w:r w:rsidRPr="00A47AAC">
        <w:rPr>
          <w:rFonts w:eastAsiaTheme="minorHAnsi"/>
          <w:color w:val="auto"/>
          <w:kern w:val="0"/>
          <w:sz w:val="24"/>
          <w:szCs w:val="24"/>
        </w:rPr>
        <w:t>305</w:t>
      </w:r>
      <w:r w:rsidR="0035489A" w:rsidRPr="00A47AAC">
        <w:rPr>
          <w:rFonts w:eastAsiaTheme="minorHAnsi"/>
          <w:color w:val="auto"/>
          <w:kern w:val="0"/>
          <w:sz w:val="24"/>
          <w:szCs w:val="24"/>
        </w:rPr>
        <w:t xml:space="preserve">) </w:t>
      </w:r>
      <w:r w:rsidRPr="00A47AAC">
        <w:rPr>
          <w:rFonts w:eastAsiaTheme="minorHAnsi"/>
          <w:color w:val="auto"/>
          <w:kern w:val="0"/>
          <w:sz w:val="24"/>
          <w:szCs w:val="24"/>
        </w:rPr>
        <w:t xml:space="preserve">577-5577 </w:t>
      </w:r>
      <w:hyperlink r:id="rId12" w:history="1">
        <w:r w:rsidRPr="00A47AAC">
          <w:rPr>
            <w:rFonts w:eastAsiaTheme="minorHAnsi"/>
            <w:color w:val="0000FF" w:themeColor="hyperlink"/>
            <w:kern w:val="0"/>
            <w:sz w:val="24"/>
            <w:szCs w:val="24"/>
            <w:u w:val="single"/>
          </w:rPr>
          <w:t>steven@mishanlaw.com</w:t>
        </w:r>
      </w:hyperlink>
    </w:p>
    <w:p w:rsidR="00313107" w:rsidRPr="00A47AAC" w:rsidRDefault="00313107" w:rsidP="00313107">
      <w:pPr>
        <w:numPr>
          <w:ilvl w:val="0"/>
          <w:numId w:val="4"/>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William Scherer, Esq. </w:t>
      </w:r>
      <w:r w:rsidR="0035489A" w:rsidRPr="00A47AAC">
        <w:rPr>
          <w:rFonts w:eastAsiaTheme="minorHAnsi"/>
          <w:color w:val="auto"/>
          <w:kern w:val="0"/>
          <w:sz w:val="24"/>
          <w:szCs w:val="24"/>
        </w:rPr>
        <w:t>(</w:t>
      </w:r>
      <w:r w:rsidRPr="00A47AAC">
        <w:rPr>
          <w:rFonts w:eastAsiaTheme="minorHAnsi"/>
          <w:color w:val="auto"/>
          <w:kern w:val="0"/>
          <w:sz w:val="24"/>
          <w:szCs w:val="24"/>
        </w:rPr>
        <w:t>954</w:t>
      </w:r>
      <w:r w:rsidR="0035489A" w:rsidRPr="00A47AAC">
        <w:rPr>
          <w:rFonts w:eastAsiaTheme="minorHAnsi"/>
          <w:color w:val="auto"/>
          <w:kern w:val="0"/>
          <w:sz w:val="24"/>
          <w:szCs w:val="24"/>
        </w:rPr>
        <w:t xml:space="preserve">) </w:t>
      </w:r>
      <w:r w:rsidRPr="00A47AAC">
        <w:rPr>
          <w:rFonts w:eastAsiaTheme="minorHAnsi"/>
          <w:color w:val="auto"/>
          <w:kern w:val="0"/>
          <w:sz w:val="24"/>
          <w:szCs w:val="24"/>
        </w:rPr>
        <w:t xml:space="preserve">847-3362 </w:t>
      </w:r>
      <w:hyperlink r:id="rId13" w:history="1">
        <w:r w:rsidRPr="00A47AAC">
          <w:rPr>
            <w:rFonts w:eastAsiaTheme="minorHAnsi"/>
            <w:color w:val="0000FF" w:themeColor="hyperlink"/>
            <w:kern w:val="0"/>
            <w:sz w:val="24"/>
            <w:szCs w:val="24"/>
            <w:u w:val="single"/>
          </w:rPr>
          <w:t>wscherer@conradscherer.com</w:t>
        </w:r>
      </w:hyperlink>
      <w:r w:rsidRPr="00A47AAC">
        <w:rPr>
          <w:rFonts w:eastAsiaTheme="minorHAnsi"/>
          <w:color w:val="auto"/>
          <w:kern w:val="0"/>
          <w:sz w:val="24"/>
          <w:szCs w:val="24"/>
        </w:rPr>
        <w:t xml:space="preserve"> </w:t>
      </w:r>
    </w:p>
    <w:p w:rsidR="00313107" w:rsidRPr="00A47AAC" w:rsidRDefault="00313107" w:rsidP="00313107">
      <w:pPr>
        <w:numPr>
          <w:ilvl w:val="0"/>
          <w:numId w:val="4"/>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lastRenderedPageBreak/>
        <w:t xml:space="preserve">Jerome (“Jerry”) Gallagher, Esq. </w:t>
      </w:r>
      <w:r w:rsidR="0035489A" w:rsidRPr="00A47AAC">
        <w:rPr>
          <w:rFonts w:eastAsiaTheme="minorHAnsi"/>
          <w:color w:val="auto"/>
          <w:kern w:val="0"/>
          <w:sz w:val="24"/>
          <w:szCs w:val="24"/>
        </w:rPr>
        <w:t>(9</w:t>
      </w:r>
      <w:r w:rsidRPr="00A47AAC">
        <w:rPr>
          <w:rFonts w:eastAsiaTheme="minorHAnsi"/>
          <w:color w:val="auto"/>
          <w:kern w:val="0"/>
          <w:sz w:val="24"/>
          <w:szCs w:val="24"/>
        </w:rPr>
        <w:t>08</w:t>
      </w:r>
      <w:r w:rsidR="0035489A" w:rsidRPr="00A47AAC">
        <w:rPr>
          <w:rFonts w:eastAsiaTheme="minorHAnsi"/>
          <w:color w:val="auto"/>
          <w:kern w:val="0"/>
          <w:sz w:val="24"/>
          <w:szCs w:val="24"/>
        </w:rPr>
        <w:t xml:space="preserve">) </w:t>
      </w:r>
      <w:r w:rsidRPr="00A47AAC">
        <w:rPr>
          <w:rFonts w:eastAsiaTheme="minorHAnsi"/>
          <w:color w:val="auto"/>
          <w:kern w:val="0"/>
          <w:sz w:val="24"/>
          <w:szCs w:val="24"/>
        </w:rPr>
        <w:t xml:space="preserve">252-4344 </w:t>
      </w:r>
      <w:hyperlink r:id="rId14" w:history="1">
        <w:r w:rsidR="004367FB" w:rsidRPr="00A47AAC">
          <w:rPr>
            <w:rStyle w:val="Hyperlink"/>
            <w:rFonts w:eastAsiaTheme="minorHAnsi"/>
            <w:kern w:val="0"/>
            <w:sz w:val="24"/>
            <w:szCs w:val="24"/>
          </w:rPr>
          <w:t>jfgallagher@nmmlaw.com</w:t>
        </w:r>
      </w:hyperlink>
    </w:p>
    <w:p w:rsidR="00313107" w:rsidRPr="00A47AAC" w:rsidRDefault="00313107" w:rsidP="00313107">
      <w:pPr>
        <w:numPr>
          <w:ilvl w:val="0"/>
          <w:numId w:val="4"/>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Neil Hartzell, Esq.  </w:t>
      </w:r>
      <w:r w:rsidR="0035489A" w:rsidRPr="00A47AAC">
        <w:rPr>
          <w:rFonts w:eastAsiaTheme="minorHAnsi"/>
          <w:color w:val="auto"/>
          <w:kern w:val="0"/>
          <w:sz w:val="24"/>
          <w:szCs w:val="24"/>
        </w:rPr>
        <w:t>(</w:t>
      </w:r>
      <w:r w:rsidRPr="00A47AAC">
        <w:rPr>
          <w:rFonts w:eastAsiaTheme="minorHAnsi"/>
          <w:color w:val="auto"/>
          <w:kern w:val="0"/>
          <w:sz w:val="24"/>
          <w:szCs w:val="24"/>
        </w:rPr>
        <w:t>617</w:t>
      </w:r>
      <w:r w:rsidR="0035489A" w:rsidRPr="00A47AAC">
        <w:rPr>
          <w:rFonts w:eastAsiaTheme="minorHAnsi"/>
          <w:color w:val="auto"/>
          <w:kern w:val="0"/>
          <w:sz w:val="24"/>
          <w:szCs w:val="24"/>
        </w:rPr>
        <w:t xml:space="preserve">) </w:t>
      </w:r>
      <w:r w:rsidRPr="00A47AAC">
        <w:rPr>
          <w:rFonts w:eastAsiaTheme="minorHAnsi"/>
          <w:color w:val="auto"/>
          <w:kern w:val="0"/>
          <w:sz w:val="24"/>
          <w:szCs w:val="24"/>
        </w:rPr>
        <w:t xml:space="preserve">502-8209  </w:t>
      </w:r>
      <w:hyperlink r:id="rId15" w:history="1">
        <w:r w:rsidRPr="00A47AAC">
          <w:rPr>
            <w:rFonts w:eastAsiaTheme="minorHAnsi"/>
            <w:color w:val="0000FF" w:themeColor="hyperlink"/>
            <w:kern w:val="0"/>
            <w:sz w:val="24"/>
            <w:szCs w:val="24"/>
            <w:u w:val="single"/>
          </w:rPr>
          <w:t>Neil.hartzell@leclairryan.com</w:t>
        </w:r>
      </w:hyperlink>
    </w:p>
    <w:p w:rsidR="00313107" w:rsidRPr="00A47AAC" w:rsidRDefault="00313107" w:rsidP="00313107">
      <w:pPr>
        <w:numPr>
          <w:ilvl w:val="0"/>
          <w:numId w:val="4"/>
        </w:numPr>
        <w:spacing w:after="200" w:line="276" w:lineRule="auto"/>
        <w:contextualSpacing/>
        <w:rPr>
          <w:rFonts w:eastAsiaTheme="minorHAnsi"/>
          <w:color w:val="0000FF" w:themeColor="hyperlink"/>
          <w:kern w:val="0"/>
          <w:sz w:val="24"/>
          <w:szCs w:val="24"/>
          <w:u w:val="single"/>
        </w:rPr>
      </w:pPr>
      <w:r w:rsidRPr="00A47AAC">
        <w:rPr>
          <w:rFonts w:eastAsiaTheme="minorHAnsi"/>
          <w:color w:val="auto"/>
          <w:kern w:val="0"/>
          <w:sz w:val="24"/>
          <w:szCs w:val="24"/>
        </w:rPr>
        <w:t xml:space="preserve">Thomas F. Bullock, Esq.  </w:t>
      </w:r>
      <w:r w:rsidR="0035489A" w:rsidRPr="00A47AAC">
        <w:rPr>
          <w:rFonts w:eastAsiaTheme="minorHAnsi"/>
          <w:color w:val="auto"/>
          <w:kern w:val="0"/>
          <w:sz w:val="24"/>
          <w:szCs w:val="24"/>
        </w:rPr>
        <w:t>(</w:t>
      </w:r>
      <w:r w:rsidRPr="00A47AAC">
        <w:rPr>
          <w:rFonts w:eastAsiaTheme="minorHAnsi"/>
          <w:color w:val="auto"/>
          <w:kern w:val="0"/>
          <w:sz w:val="24"/>
          <w:szCs w:val="24"/>
        </w:rPr>
        <w:t>609</w:t>
      </w:r>
      <w:r w:rsidR="0035489A" w:rsidRPr="00A47AAC">
        <w:rPr>
          <w:rFonts w:eastAsiaTheme="minorHAnsi"/>
          <w:color w:val="auto"/>
          <w:kern w:val="0"/>
          <w:sz w:val="24"/>
          <w:szCs w:val="24"/>
        </w:rPr>
        <w:t xml:space="preserve">) </w:t>
      </w:r>
      <w:r w:rsidRPr="00A47AAC">
        <w:rPr>
          <w:rFonts w:eastAsiaTheme="minorHAnsi"/>
          <w:color w:val="auto"/>
          <w:kern w:val="0"/>
          <w:sz w:val="24"/>
          <w:szCs w:val="24"/>
        </w:rPr>
        <w:t xml:space="preserve">352-7499 </w:t>
      </w:r>
      <w:hyperlink r:id="rId16" w:history="1">
        <w:r w:rsidRPr="00A47AAC">
          <w:rPr>
            <w:rFonts w:eastAsiaTheme="minorHAnsi"/>
            <w:color w:val="0000FF" w:themeColor="hyperlink"/>
            <w:kern w:val="0"/>
            <w:sz w:val="24"/>
            <w:szCs w:val="24"/>
            <w:u w:val="single"/>
          </w:rPr>
          <w:t>tfblaw@aol.com</w:t>
        </w:r>
      </w:hyperlink>
    </w:p>
    <w:p w:rsidR="00313107" w:rsidRPr="00A47AAC" w:rsidRDefault="00313107" w:rsidP="00313107">
      <w:pPr>
        <w:numPr>
          <w:ilvl w:val="0"/>
          <w:numId w:val="4"/>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Cindy Salvo, Esq.  </w:t>
      </w:r>
      <w:r w:rsidR="0035489A" w:rsidRPr="00A47AAC">
        <w:rPr>
          <w:rFonts w:eastAsiaTheme="minorHAnsi"/>
          <w:color w:val="auto"/>
          <w:kern w:val="0"/>
          <w:sz w:val="24"/>
          <w:szCs w:val="24"/>
        </w:rPr>
        <w:t>(</w:t>
      </w:r>
      <w:r w:rsidRPr="00A47AAC">
        <w:rPr>
          <w:rFonts w:eastAsiaTheme="minorHAnsi"/>
          <w:color w:val="auto"/>
          <w:kern w:val="0"/>
          <w:sz w:val="24"/>
          <w:szCs w:val="24"/>
        </w:rPr>
        <w:t>973</w:t>
      </w:r>
      <w:r w:rsidR="0035489A" w:rsidRPr="00A47AAC">
        <w:rPr>
          <w:rFonts w:eastAsiaTheme="minorHAnsi"/>
          <w:color w:val="auto"/>
          <w:kern w:val="0"/>
          <w:sz w:val="24"/>
          <w:szCs w:val="24"/>
        </w:rPr>
        <w:t xml:space="preserve">) </w:t>
      </w:r>
      <w:r w:rsidRPr="00A47AAC">
        <w:rPr>
          <w:rFonts w:eastAsiaTheme="minorHAnsi"/>
          <w:color w:val="auto"/>
          <w:kern w:val="0"/>
          <w:sz w:val="24"/>
          <w:szCs w:val="24"/>
        </w:rPr>
        <w:t xml:space="preserve">226-2220  </w:t>
      </w:r>
      <w:hyperlink r:id="rId17" w:history="1">
        <w:r w:rsidRPr="00A47AAC">
          <w:rPr>
            <w:rFonts w:eastAsiaTheme="minorHAnsi"/>
            <w:color w:val="0000FF" w:themeColor="hyperlink"/>
            <w:kern w:val="0"/>
            <w:sz w:val="24"/>
            <w:szCs w:val="24"/>
            <w:u w:val="single"/>
          </w:rPr>
          <w:t>csalvo@salvolawfirm.com</w:t>
        </w:r>
      </w:hyperlink>
      <w:r w:rsidRPr="00A47AAC">
        <w:rPr>
          <w:rFonts w:eastAsiaTheme="minorHAnsi"/>
          <w:color w:val="auto"/>
          <w:kern w:val="0"/>
          <w:sz w:val="24"/>
          <w:szCs w:val="24"/>
        </w:rPr>
        <w:t xml:space="preserve"> </w:t>
      </w:r>
    </w:p>
    <w:p w:rsidR="0035489A" w:rsidRPr="00A47AAC" w:rsidRDefault="00106C68" w:rsidP="00313107">
      <w:pPr>
        <w:numPr>
          <w:ilvl w:val="0"/>
          <w:numId w:val="4"/>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Jerome A. Miranowski, Esq.  </w:t>
      </w:r>
      <w:r w:rsidR="0035489A" w:rsidRPr="00A47AAC">
        <w:rPr>
          <w:rFonts w:eastAsiaTheme="minorHAnsi"/>
          <w:color w:val="auto"/>
          <w:kern w:val="0"/>
          <w:sz w:val="24"/>
          <w:szCs w:val="24"/>
        </w:rPr>
        <w:t>(</w:t>
      </w:r>
      <w:r w:rsidRPr="00A47AAC">
        <w:rPr>
          <w:rFonts w:eastAsiaTheme="minorHAnsi"/>
          <w:color w:val="auto"/>
          <w:kern w:val="0"/>
          <w:sz w:val="24"/>
          <w:szCs w:val="24"/>
        </w:rPr>
        <w:t>612</w:t>
      </w:r>
      <w:r w:rsidR="0035489A" w:rsidRPr="00A47AAC">
        <w:rPr>
          <w:rFonts w:eastAsiaTheme="minorHAnsi"/>
          <w:color w:val="auto"/>
          <w:kern w:val="0"/>
          <w:sz w:val="24"/>
          <w:szCs w:val="24"/>
        </w:rPr>
        <w:t xml:space="preserve">) </w:t>
      </w:r>
      <w:r w:rsidRPr="00A47AAC">
        <w:rPr>
          <w:rFonts w:eastAsiaTheme="minorHAnsi"/>
          <w:color w:val="auto"/>
          <w:kern w:val="0"/>
          <w:sz w:val="24"/>
          <w:szCs w:val="24"/>
        </w:rPr>
        <w:t xml:space="preserve">766-7811  </w:t>
      </w:r>
      <w:hyperlink r:id="rId18" w:history="1">
        <w:r w:rsidRPr="00A47AAC">
          <w:rPr>
            <w:rStyle w:val="Hyperlink"/>
            <w:rFonts w:eastAsiaTheme="minorHAnsi"/>
            <w:kern w:val="0"/>
            <w:sz w:val="24"/>
            <w:szCs w:val="24"/>
          </w:rPr>
          <w:t>jerome.miranowski@faegrebd.com</w:t>
        </w:r>
      </w:hyperlink>
    </w:p>
    <w:p w:rsidR="00106C68" w:rsidRPr="00A47AAC" w:rsidRDefault="0035489A" w:rsidP="00313107">
      <w:pPr>
        <w:numPr>
          <w:ilvl w:val="0"/>
          <w:numId w:val="4"/>
        </w:numPr>
        <w:spacing w:after="200" w:line="276" w:lineRule="auto"/>
        <w:contextualSpacing/>
        <w:rPr>
          <w:rFonts w:eastAsiaTheme="minorHAnsi"/>
          <w:color w:val="auto"/>
          <w:kern w:val="0"/>
          <w:sz w:val="24"/>
          <w:szCs w:val="24"/>
        </w:rPr>
      </w:pPr>
      <w:r w:rsidRPr="00A47AAC">
        <w:rPr>
          <w:sz w:val="24"/>
          <w:szCs w:val="24"/>
        </w:rPr>
        <w:t xml:space="preserve">Harry R. Ryan, Esq. </w:t>
      </w:r>
      <w:r w:rsidR="00106C68" w:rsidRPr="00A47AAC">
        <w:rPr>
          <w:rFonts w:eastAsiaTheme="minorHAnsi"/>
          <w:color w:val="auto"/>
          <w:kern w:val="0"/>
          <w:sz w:val="24"/>
          <w:szCs w:val="24"/>
        </w:rPr>
        <w:t xml:space="preserve"> </w:t>
      </w:r>
      <w:r w:rsidRPr="00A47AAC">
        <w:rPr>
          <w:rFonts w:eastAsiaTheme="minorHAnsi"/>
          <w:color w:val="auto"/>
          <w:kern w:val="0"/>
          <w:sz w:val="24"/>
          <w:szCs w:val="24"/>
        </w:rPr>
        <w:t xml:space="preserve">(802) 786-1040 </w:t>
      </w:r>
      <w:hyperlink r:id="rId19" w:history="1">
        <w:r w:rsidRPr="00A47AAC">
          <w:rPr>
            <w:rStyle w:val="Hyperlink"/>
            <w:rFonts w:eastAsiaTheme="minorHAnsi"/>
            <w:kern w:val="0"/>
            <w:sz w:val="24"/>
            <w:szCs w:val="24"/>
          </w:rPr>
          <w:t>hrr@rsclaw.com</w:t>
        </w:r>
      </w:hyperlink>
      <w:r w:rsidRPr="00A47AAC">
        <w:rPr>
          <w:rFonts w:eastAsiaTheme="minorHAnsi"/>
          <w:color w:val="auto"/>
          <w:kern w:val="0"/>
          <w:sz w:val="24"/>
          <w:szCs w:val="24"/>
        </w:rPr>
        <w:t xml:space="preserve"> </w:t>
      </w:r>
    </w:p>
    <w:p w:rsidR="001C7ED6" w:rsidRPr="00A47AAC" w:rsidRDefault="001C7ED6" w:rsidP="001C7ED6">
      <w:pPr>
        <w:spacing w:after="200" w:line="276" w:lineRule="auto"/>
        <w:ind w:left="720"/>
        <w:contextualSpacing/>
        <w:rPr>
          <w:rFonts w:eastAsiaTheme="minorHAnsi"/>
          <w:color w:val="auto"/>
          <w:kern w:val="0"/>
          <w:sz w:val="24"/>
          <w:szCs w:val="24"/>
        </w:rPr>
      </w:pPr>
    </w:p>
    <w:p w:rsidR="00A47AAC" w:rsidRDefault="00A47AAC" w:rsidP="00313107">
      <w:pPr>
        <w:spacing w:line="276" w:lineRule="auto"/>
        <w:jc w:val="center"/>
        <w:rPr>
          <w:rFonts w:eastAsiaTheme="minorHAnsi"/>
          <w:color w:val="auto"/>
          <w:kern w:val="0"/>
          <w:sz w:val="24"/>
          <w:szCs w:val="24"/>
        </w:rPr>
      </w:pPr>
    </w:p>
    <w:p w:rsidR="00A47AAC" w:rsidRDefault="00A47AAC" w:rsidP="00313107">
      <w:pPr>
        <w:spacing w:line="276" w:lineRule="auto"/>
        <w:jc w:val="center"/>
        <w:rPr>
          <w:rFonts w:eastAsiaTheme="minorHAnsi"/>
          <w:color w:val="auto"/>
          <w:kern w:val="0"/>
          <w:sz w:val="24"/>
          <w:szCs w:val="24"/>
        </w:rPr>
      </w:pPr>
    </w:p>
    <w:p w:rsidR="00313107" w:rsidRPr="00A47AAC" w:rsidRDefault="00313107" w:rsidP="00313107">
      <w:pPr>
        <w:spacing w:after="200" w:line="276" w:lineRule="auto"/>
        <w:rPr>
          <w:rFonts w:eastAsiaTheme="minorHAnsi"/>
          <w:color w:val="auto"/>
          <w:kern w:val="0"/>
          <w:sz w:val="24"/>
          <w:szCs w:val="24"/>
        </w:rPr>
      </w:pPr>
      <w:r w:rsidRPr="00A47AAC">
        <w:rPr>
          <w:rFonts w:eastAsiaTheme="minorHAnsi"/>
          <w:color w:val="auto"/>
          <w:kern w:val="0"/>
          <w:sz w:val="24"/>
          <w:szCs w:val="24"/>
        </w:rPr>
        <w:t>CLIENTS AND BUSINESS PARTNERS</w:t>
      </w:r>
    </w:p>
    <w:p w:rsidR="00313107" w:rsidRPr="00A47AAC" w:rsidRDefault="00313107" w:rsidP="00313107">
      <w:pPr>
        <w:ind w:left="720"/>
        <w:rPr>
          <w:color w:val="auto"/>
          <w:kern w:val="0"/>
          <w:sz w:val="24"/>
          <w:szCs w:val="24"/>
        </w:rPr>
      </w:pPr>
      <w:r w:rsidRPr="00A47AAC">
        <w:rPr>
          <w:color w:val="auto"/>
          <w:kern w:val="0"/>
          <w:sz w:val="24"/>
          <w:szCs w:val="24"/>
        </w:rPr>
        <w:t>Jeffrey Arnold, Director of Leasing  - Markeim Chalmers (856) 324-5274</w:t>
      </w:r>
      <w:r w:rsidRPr="00A47AAC">
        <w:rPr>
          <w:color w:val="auto"/>
          <w:kern w:val="0"/>
          <w:sz w:val="24"/>
          <w:szCs w:val="24"/>
        </w:rPr>
        <w:br/>
        <w:t>Brian P. Boland, Esq. Sr. VP, Counsel – UMB Financial Corporation (816) 860-7910</w:t>
      </w:r>
      <w:r w:rsidRPr="00A47AAC">
        <w:rPr>
          <w:color w:val="auto"/>
          <w:kern w:val="0"/>
          <w:sz w:val="24"/>
          <w:szCs w:val="24"/>
        </w:rPr>
        <w:br/>
        <w:t>David Girard-diCarlo, Esq,  Retired, Former Managing Partner of Blank Rome and US Ambassador to Austria) (505) 992-1502</w:t>
      </w:r>
      <w:r w:rsidRPr="00A47AAC">
        <w:rPr>
          <w:color w:val="auto"/>
          <w:kern w:val="0"/>
          <w:sz w:val="24"/>
          <w:szCs w:val="24"/>
        </w:rPr>
        <w:br/>
        <w:t>Anne Flynn, Former Director New Jersey Treasury, Senior Managing Director, Fitch Ratings (212) 908-9152</w:t>
      </w:r>
      <w:r w:rsidRPr="00A47AAC">
        <w:rPr>
          <w:color w:val="auto"/>
          <w:kern w:val="0"/>
          <w:sz w:val="24"/>
          <w:szCs w:val="24"/>
        </w:rPr>
        <w:br/>
        <w:t>Frank Kelly, Sr. VP – RBS Citizens Bank (610) 941-8449</w:t>
      </w:r>
      <w:r w:rsidRPr="00A47AAC">
        <w:rPr>
          <w:color w:val="auto"/>
          <w:kern w:val="0"/>
          <w:sz w:val="24"/>
          <w:szCs w:val="24"/>
        </w:rPr>
        <w:br/>
        <w:t xml:space="preserve">Patricia Lenahan,  EVP/DC Regional Manager – TD bank (202) 288-5859 </w:t>
      </w:r>
    </w:p>
    <w:p w:rsidR="00313107" w:rsidRPr="00A47AAC" w:rsidRDefault="00313107" w:rsidP="00313107">
      <w:pPr>
        <w:ind w:left="720"/>
        <w:rPr>
          <w:color w:val="auto"/>
          <w:kern w:val="0"/>
          <w:sz w:val="24"/>
          <w:szCs w:val="24"/>
        </w:rPr>
      </w:pPr>
      <w:r w:rsidRPr="00A47AAC">
        <w:rPr>
          <w:color w:val="auto"/>
          <w:kern w:val="0"/>
          <w:sz w:val="24"/>
          <w:szCs w:val="24"/>
        </w:rPr>
        <w:t xml:space="preserve"> Daniel Stella, Sr. Executive, VP, PNC Business Credit (215) 585-5930 </w:t>
      </w:r>
      <w:r w:rsidRPr="00A47AAC">
        <w:rPr>
          <w:color w:val="auto"/>
          <w:kern w:val="0"/>
          <w:sz w:val="24"/>
          <w:szCs w:val="24"/>
        </w:rPr>
        <w:br/>
        <w:t>Scott Yablonowitz, Esq. Retired, Former VP/Divisional Counsel - GMAC Commercial Finance</w:t>
      </w:r>
      <w:r w:rsidRPr="00A47AAC">
        <w:rPr>
          <w:color w:val="auto"/>
          <w:kern w:val="0"/>
          <w:sz w:val="24"/>
          <w:szCs w:val="24"/>
        </w:rPr>
        <w:br/>
        <w:t xml:space="preserve"> (917) 499-5323 </w:t>
      </w:r>
    </w:p>
    <w:p w:rsidR="00313107" w:rsidRPr="00A47AAC" w:rsidRDefault="00313107" w:rsidP="00313107">
      <w:pPr>
        <w:ind w:left="720"/>
        <w:rPr>
          <w:color w:val="auto"/>
          <w:kern w:val="0"/>
          <w:sz w:val="24"/>
          <w:szCs w:val="24"/>
        </w:rPr>
      </w:pPr>
      <w:r w:rsidRPr="00A47AAC">
        <w:rPr>
          <w:color w:val="auto"/>
          <w:kern w:val="0"/>
          <w:sz w:val="24"/>
          <w:szCs w:val="24"/>
        </w:rPr>
        <w:t>Hank Applegate, CFO ICS Risk Management (856) 439-1490</w:t>
      </w:r>
    </w:p>
    <w:p w:rsidR="00313107" w:rsidRPr="00A47AAC" w:rsidRDefault="00313107" w:rsidP="00313107">
      <w:pPr>
        <w:ind w:left="720"/>
        <w:rPr>
          <w:color w:val="auto"/>
          <w:kern w:val="0"/>
          <w:sz w:val="24"/>
          <w:szCs w:val="24"/>
        </w:rPr>
      </w:pPr>
      <w:r w:rsidRPr="00A47AAC">
        <w:rPr>
          <w:color w:val="auto"/>
          <w:kern w:val="0"/>
          <w:sz w:val="24"/>
          <w:szCs w:val="24"/>
        </w:rPr>
        <w:t>Martin Gallagher, EVP, CCO Beneficial Bank (215) 817-8632</w:t>
      </w:r>
    </w:p>
    <w:p w:rsidR="0035489A" w:rsidRPr="00A47AAC" w:rsidRDefault="00AE5801" w:rsidP="00A47AAC">
      <w:pPr>
        <w:spacing w:after="240"/>
        <w:ind w:left="720"/>
        <w:rPr>
          <w:rFonts w:eastAsiaTheme="minorHAnsi"/>
          <w:color w:val="auto"/>
          <w:kern w:val="0"/>
          <w:sz w:val="24"/>
          <w:szCs w:val="24"/>
        </w:rPr>
      </w:pPr>
      <w:r w:rsidRPr="00A47AAC">
        <w:rPr>
          <w:color w:val="auto"/>
          <w:kern w:val="0"/>
          <w:sz w:val="24"/>
          <w:szCs w:val="24"/>
        </w:rPr>
        <w:t>David Molson, past President Shinhan Bank</w:t>
      </w:r>
      <w:r w:rsidR="00B95D98" w:rsidRPr="00A47AAC">
        <w:rPr>
          <w:color w:val="auto"/>
          <w:kern w:val="0"/>
          <w:sz w:val="24"/>
          <w:szCs w:val="24"/>
        </w:rPr>
        <w:t>, (404) 259-0774</w:t>
      </w:r>
      <w:r w:rsidR="00313107" w:rsidRPr="00A47AAC">
        <w:rPr>
          <w:rFonts w:eastAsiaTheme="minorHAnsi"/>
          <w:color w:val="auto"/>
          <w:kern w:val="0"/>
          <w:sz w:val="24"/>
          <w:szCs w:val="24"/>
        </w:rPr>
        <w:tab/>
      </w:r>
    </w:p>
    <w:p w:rsidR="00313107" w:rsidRPr="00A47AAC" w:rsidRDefault="00313107" w:rsidP="00313107">
      <w:pPr>
        <w:spacing w:after="240"/>
        <w:rPr>
          <w:rFonts w:eastAsiaTheme="minorHAnsi"/>
          <w:color w:val="auto"/>
          <w:kern w:val="0"/>
          <w:sz w:val="24"/>
          <w:szCs w:val="24"/>
        </w:rPr>
      </w:pPr>
      <w:r w:rsidRPr="00A47AAC">
        <w:rPr>
          <w:rFonts w:eastAsiaTheme="minorHAnsi"/>
          <w:color w:val="auto"/>
          <w:kern w:val="0"/>
          <w:sz w:val="24"/>
          <w:szCs w:val="24"/>
        </w:rPr>
        <w:t xml:space="preserve">FORMER LAW PARTNERS </w:t>
      </w:r>
    </w:p>
    <w:p w:rsidR="00AE5801" w:rsidRPr="00A47AAC" w:rsidRDefault="00313107" w:rsidP="00313107">
      <w:pPr>
        <w:ind w:left="720"/>
        <w:rPr>
          <w:color w:val="auto"/>
          <w:kern w:val="0"/>
          <w:sz w:val="24"/>
          <w:szCs w:val="24"/>
        </w:rPr>
      </w:pPr>
      <w:r w:rsidRPr="00A47AAC">
        <w:rPr>
          <w:color w:val="auto"/>
          <w:kern w:val="0"/>
          <w:sz w:val="24"/>
          <w:szCs w:val="24"/>
        </w:rPr>
        <w:t>Christopher Fritz, Esq. (410) 528-5584</w:t>
      </w:r>
      <w:r w:rsidRPr="00A47AAC">
        <w:rPr>
          <w:color w:val="auto"/>
          <w:kern w:val="0"/>
          <w:sz w:val="24"/>
          <w:szCs w:val="24"/>
        </w:rPr>
        <w:br/>
        <w:t>Thomas Hoffman, Esq. (202) 661-2215</w:t>
      </w:r>
      <w:r w:rsidRPr="00A47AAC">
        <w:rPr>
          <w:color w:val="auto"/>
          <w:kern w:val="0"/>
          <w:sz w:val="24"/>
          <w:szCs w:val="24"/>
        </w:rPr>
        <w:br/>
        <w:t>Robert Kraus, Esq. (215) 864-8202</w:t>
      </w:r>
      <w:r w:rsidRPr="00A47AAC">
        <w:rPr>
          <w:color w:val="auto"/>
          <w:kern w:val="0"/>
          <w:sz w:val="24"/>
          <w:szCs w:val="24"/>
        </w:rPr>
        <w:br/>
        <w:t>Larry Flick, Esq. (215) 569-5556</w:t>
      </w:r>
    </w:p>
    <w:p w:rsidR="00313107" w:rsidRPr="00A47AAC" w:rsidRDefault="00AE5801" w:rsidP="00313107">
      <w:pPr>
        <w:ind w:left="720"/>
        <w:rPr>
          <w:color w:val="auto"/>
          <w:kern w:val="0"/>
          <w:sz w:val="24"/>
          <w:szCs w:val="24"/>
        </w:rPr>
      </w:pPr>
      <w:r w:rsidRPr="00A47AAC">
        <w:rPr>
          <w:color w:val="auto"/>
          <w:kern w:val="0"/>
          <w:sz w:val="24"/>
          <w:szCs w:val="24"/>
        </w:rPr>
        <w:t>Harvey Forman, Esq. (215)</w:t>
      </w:r>
      <w:r w:rsidR="00B95D98" w:rsidRPr="00A47AAC">
        <w:rPr>
          <w:color w:val="auto"/>
          <w:kern w:val="0"/>
          <w:sz w:val="24"/>
          <w:szCs w:val="24"/>
        </w:rPr>
        <w:t xml:space="preserve"> 569-5516</w:t>
      </w:r>
      <w:r w:rsidRPr="00A47AAC">
        <w:rPr>
          <w:color w:val="auto"/>
          <w:kern w:val="0"/>
          <w:sz w:val="24"/>
          <w:szCs w:val="24"/>
        </w:rPr>
        <w:t xml:space="preserve"> </w:t>
      </w:r>
      <w:r w:rsidR="00313107" w:rsidRPr="00A47AAC">
        <w:rPr>
          <w:color w:val="auto"/>
          <w:kern w:val="0"/>
          <w:sz w:val="24"/>
          <w:szCs w:val="24"/>
        </w:rPr>
        <w:br/>
        <w:t>David Prior, Esq. (215) 864-8500</w:t>
      </w:r>
    </w:p>
    <w:p w:rsidR="00BE2F0E" w:rsidRDefault="00313107" w:rsidP="00A47AAC">
      <w:pPr>
        <w:ind w:left="720"/>
        <w:rPr>
          <w:color w:val="auto"/>
          <w:kern w:val="0"/>
          <w:sz w:val="24"/>
          <w:szCs w:val="24"/>
        </w:rPr>
      </w:pPr>
      <w:r w:rsidRPr="00A47AAC">
        <w:rPr>
          <w:color w:val="auto"/>
          <w:kern w:val="0"/>
          <w:sz w:val="24"/>
          <w:szCs w:val="24"/>
        </w:rPr>
        <w:t>Michael Shavel, Esq. (609) 634-7339</w:t>
      </w: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A47AAC" w:rsidRDefault="00A47AAC" w:rsidP="00A47AAC">
      <w:pPr>
        <w:ind w:left="720"/>
        <w:rPr>
          <w:color w:val="auto"/>
          <w:kern w:val="0"/>
          <w:sz w:val="24"/>
          <w:szCs w:val="24"/>
        </w:rPr>
      </w:pPr>
    </w:p>
    <w:p w:rsidR="001C7ED6" w:rsidRPr="00A47AAC" w:rsidRDefault="001C7ED6" w:rsidP="001C7ED6">
      <w:pPr>
        <w:spacing w:after="200" w:line="276" w:lineRule="auto"/>
        <w:jc w:val="center"/>
        <w:rPr>
          <w:rFonts w:eastAsiaTheme="minorHAnsi"/>
          <w:b/>
          <w:color w:val="auto"/>
          <w:kern w:val="0"/>
          <w:sz w:val="24"/>
          <w:szCs w:val="24"/>
        </w:rPr>
      </w:pPr>
      <w:r w:rsidRPr="00A47AAC">
        <w:rPr>
          <w:rFonts w:eastAsiaTheme="minorHAnsi"/>
          <w:b/>
          <w:color w:val="auto"/>
          <w:kern w:val="0"/>
          <w:sz w:val="24"/>
          <w:szCs w:val="24"/>
        </w:rPr>
        <w:lastRenderedPageBreak/>
        <w:t xml:space="preserve"> </w:t>
      </w:r>
    </w:p>
    <w:p w:rsidR="001C7ED6" w:rsidRPr="00A47AAC" w:rsidRDefault="001C7ED6" w:rsidP="002C114B">
      <w:pPr>
        <w:spacing w:after="200" w:line="276" w:lineRule="auto"/>
        <w:jc w:val="center"/>
        <w:rPr>
          <w:rFonts w:eastAsiaTheme="minorHAnsi"/>
          <w:color w:val="auto"/>
          <w:kern w:val="0"/>
          <w:sz w:val="24"/>
          <w:szCs w:val="24"/>
        </w:rPr>
      </w:pPr>
      <w:r w:rsidRPr="00A47AAC">
        <w:rPr>
          <w:rFonts w:eastAsiaTheme="minorHAnsi"/>
          <w:b/>
          <w:color w:val="auto"/>
          <w:kern w:val="0"/>
          <w:sz w:val="24"/>
          <w:szCs w:val="24"/>
        </w:rPr>
        <w:t xml:space="preserve">EXPERT TESTIMONY </w:t>
      </w:r>
      <w:r w:rsidR="00370AF6">
        <w:rPr>
          <w:rFonts w:eastAsiaTheme="minorHAnsi"/>
          <w:b/>
          <w:color w:val="auto"/>
          <w:kern w:val="0"/>
          <w:sz w:val="24"/>
          <w:szCs w:val="24"/>
        </w:rPr>
        <w:t xml:space="preserve">SUGGESTED </w:t>
      </w:r>
      <w:r w:rsidRPr="00A47AAC">
        <w:rPr>
          <w:rFonts w:eastAsiaTheme="minorHAnsi"/>
          <w:b/>
          <w:color w:val="auto"/>
          <w:kern w:val="0"/>
          <w:sz w:val="24"/>
          <w:szCs w:val="24"/>
        </w:rPr>
        <w:t>RATE SCHEDULE</w:t>
      </w:r>
    </w:p>
    <w:p w:rsidR="001C7ED6" w:rsidRPr="00A47AAC" w:rsidRDefault="001C7ED6" w:rsidP="001C7ED6">
      <w:pPr>
        <w:numPr>
          <w:ilvl w:val="0"/>
          <w:numId w:val="5"/>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Testimony and Depositions           </w:t>
      </w:r>
      <w:r w:rsidR="005A37BD" w:rsidRPr="00A47AAC">
        <w:rPr>
          <w:rFonts w:eastAsiaTheme="minorHAnsi"/>
          <w:color w:val="auto"/>
          <w:kern w:val="0"/>
          <w:sz w:val="24"/>
          <w:szCs w:val="24"/>
        </w:rPr>
        <w:t xml:space="preserve">                            </w:t>
      </w:r>
      <w:r w:rsidRPr="00A47AAC">
        <w:rPr>
          <w:rFonts w:eastAsiaTheme="minorHAnsi"/>
          <w:color w:val="auto"/>
          <w:kern w:val="0"/>
          <w:sz w:val="24"/>
          <w:szCs w:val="24"/>
        </w:rPr>
        <w:t>$4</w:t>
      </w:r>
      <w:r w:rsidR="00477FB2" w:rsidRPr="00A47AAC">
        <w:rPr>
          <w:rFonts w:eastAsiaTheme="minorHAnsi"/>
          <w:color w:val="auto"/>
          <w:kern w:val="0"/>
          <w:sz w:val="24"/>
          <w:szCs w:val="24"/>
        </w:rPr>
        <w:t>5</w:t>
      </w:r>
      <w:r w:rsidRPr="00A47AAC">
        <w:rPr>
          <w:rFonts w:eastAsiaTheme="minorHAnsi"/>
          <w:color w:val="auto"/>
          <w:kern w:val="0"/>
          <w:sz w:val="24"/>
          <w:szCs w:val="24"/>
        </w:rPr>
        <w:t>0 per hour</w:t>
      </w:r>
      <w:r w:rsidR="00477FB2" w:rsidRPr="00A47AAC">
        <w:rPr>
          <w:rStyle w:val="FootnoteReference"/>
          <w:rFonts w:eastAsiaTheme="minorHAnsi"/>
          <w:color w:val="auto"/>
          <w:kern w:val="0"/>
          <w:sz w:val="24"/>
          <w:szCs w:val="24"/>
        </w:rPr>
        <w:footnoteReference w:id="1"/>
      </w:r>
    </w:p>
    <w:p w:rsidR="005A37BD" w:rsidRPr="00A47AAC" w:rsidRDefault="005A37BD" w:rsidP="001C7ED6">
      <w:pPr>
        <w:numPr>
          <w:ilvl w:val="0"/>
          <w:numId w:val="5"/>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Consulting, Research and Report Writing                 $3</w:t>
      </w:r>
      <w:r w:rsidR="00477FB2" w:rsidRPr="00A47AAC">
        <w:rPr>
          <w:rFonts w:eastAsiaTheme="minorHAnsi"/>
          <w:color w:val="auto"/>
          <w:kern w:val="0"/>
          <w:sz w:val="24"/>
          <w:szCs w:val="24"/>
        </w:rPr>
        <w:t>5</w:t>
      </w:r>
      <w:r w:rsidRPr="00A47AAC">
        <w:rPr>
          <w:rFonts w:eastAsiaTheme="minorHAnsi"/>
          <w:color w:val="auto"/>
          <w:kern w:val="0"/>
          <w:sz w:val="24"/>
          <w:szCs w:val="24"/>
        </w:rPr>
        <w:t>0 per hour</w:t>
      </w:r>
      <w:r w:rsidR="00477FB2" w:rsidRPr="00A47AAC">
        <w:rPr>
          <w:rStyle w:val="FootnoteReference"/>
          <w:rFonts w:eastAsiaTheme="minorHAnsi"/>
          <w:color w:val="auto"/>
          <w:kern w:val="0"/>
          <w:sz w:val="24"/>
          <w:szCs w:val="24"/>
        </w:rPr>
        <w:footnoteReference w:id="2"/>
      </w:r>
      <w:r w:rsidRPr="00A47AAC">
        <w:rPr>
          <w:rFonts w:eastAsiaTheme="minorHAnsi"/>
          <w:color w:val="auto"/>
          <w:kern w:val="0"/>
          <w:sz w:val="24"/>
          <w:szCs w:val="24"/>
        </w:rPr>
        <w:t xml:space="preserve">   </w:t>
      </w:r>
    </w:p>
    <w:p w:rsidR="001C7ED6" w:rsidRPr="00A47AAC" w:rsidRDefault="001C7ED6" w:rsidP="00477FB2">
      <w:pPr>
        <w:numPr>
          <w:ilvl w:val="0"/>
          <w:numId w:val="5"/>
        </w:numPr>
        <w:spacing w:after="200" w:line="276" w:lineRule="auto"/>
        <w:ind w:left="360" w:firstLine="0"/>
        <w:contextualSpacing/>
        <w:rPr>
          <w:rFonts w:eastAsiaTheme="minorHAnsi"/>
          <w:color w:val="auto"/>
          <w:kern w:val="0"/>
          <w:sz w:val="24"/>
          <w:szCs w:val="24"/>
        </w:rPr>
      </w:pPr>
      <w:r w:rsidRPr="00A47AAC">
        <w:rPr>
          <w:rFonts w:eastAsiaTheme="minorHAnsi"/>
          <w:color w:val="auto"/>
          <w:kern w:val="0"/>
          <w:sz w:val="24"/>
          <w:szCs w:val="24"/>
        </w:rPr>
        <w:t xml:space="preserve">Document Review </w:t>
      </w:r>
      <w:r w:rsidR="005A37BD" w:rsidRPr="00A47AAC">
        <w:rPr>
          <w:rFonts w:eastAsiaTheme="minorHAnsi"/>
          <w:color w:val="auto"/>
          <w:kern w:val="0"/>
          <w:sz w:val="24"/>
          <w:szCs w:val="24"/>
        </w:rPr>
        <w:t xml:space="preserve">                </w:t>
      </w:r>
      <w:r w:rsidRPr="00A47AAC">
        <w:rPr>
          <w:rFonts w:eastAsiaTheme="minorHAnsi"/>
          <w:color w:val="auto"/>
          <w:kern w:val="0"/>
          <w:sz w:val="24"/>
          <w:szCs w:val="24"/>
        </w:rPr>
        <w:t xml:space="preserve">        </w:t>
      </w:r>
      <w:r w:rsidR="005A37BD" w:rsidRPr="00A47AAC">
        <w:rPr>
          <w:rFonts w:eastAsiaTheme="minorHAnsi"/>
          <w:color w:val="auto"/>
          <w:kern w:val="0"/>
          <w:sz w:val="24"/>
          <w:szCs w:val="24"/>
        </w:rPr>
        <w:t xml:space="preserve">                            </w:t>
      </w:r>
      <w:r w:rsidRPr="00A47AAC">
        <w:rPr>
          <w:rFonts w:eastAsiaTheme="minorHAnsi"/>
          <w:color w:val="auto"/>
          <w:kern w:val="0"/>
          <w:sz w:val="24"/>
          <w:szCs w:val="24"/>
        </w:rPr>
        <w:t>$2</w:t>
      </w:r>
      <w:r w:rsidR="00477FB2" w:rsidRPr="00A47AAC">
        <w:rPr>
          <w:rFonts w:eastAsiaTheme="minorHAnsi"/>
          <w:color w:val="auto"/>
          <w:kern w:val="0"/>
          <w:sz w:val="24"/>
          <w:szCs w:val="24"/>
        </w:rPr>
        <w:t>5</w:t>
      </w:r>
      <w:r w:rsidRPr="00A47AAC">
        <w:rPr>
          <w:rFonts w:eastAsiaTheme="minorHAnsi"/>
          <w:color w:val="auto"/>
          <w:kern w:val="0"/>
          <w:sz w:val="24"/>
          <w:szCs w:val="24"/>
        </w:rPr>
        <w:t>0 per hour</w:t>
      </w:r>
    </w:p>
    <w:p w:rsidR="001C7ED6" w:rsidRPr="00A47AAC" w:rsidRDefault="001C7ED6" w:rsidP="001C7ED6">
      <w:pPr>
        <w:numPr>
          <w:ilvl w:val="0"/>
          <w:numId w:val="5"/>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Travel                                           </w:t>
      </w:r>
      <w:r w:rsidR="00477FB2" w:rsidRPr="00A47AAC">
        <w:rPr>
          <w:rFonts w:eastAsiaTheme="minorHAnsi"/>
          <w:color w:val="auto"/>
          <w:kern w:val="0"/>
          <w:sz w:val="24"/>
          <w:szCs w:val="24"/>
        </w:rPr>
        <w:t xml:space="preserve">                            </w:t>
      </w:r>
      <w:r w:rsidRPr="00A47AAC">
        <w:rPr>
          <w:rFonts w:eastAsiaTheme="minorHAnsi"/>
          <w:color w:val="auto"/>
          <w:kern w:val="0"/>
          <w:sz w:val="24"/>
          <w:szCs w:val="24"/>
        </w:rPr>
        <w:t xml:space="preserve"> $150 per hour </w:t>
      </w:r>
      <w:r w:rsidR="009B0304" w:rsidRPr="00A47AAC">
        <w:rPr>
          <w:rStyle w:val="FootnoteReference"/>
          <w:rFonts w:eastAsiaTheme="minorHAnsi"/>
          <w:color w:val="auto"/>
          <w:kern w:val="0"/>
          <w:sz w:val="24"/>
          <w:szCs w:val="24"/>
        </w:rPr>
        <w:footnoteReference w:id="3"/>
      </w:r>
      <w:r w:rsidRPr="00A47AAC">
        <w:rPr>
          <w:rFonts w:eastAsiaTheme="minorHAnsi"/>
          <w:color w:val="auto"/>
          <w:kern w:val="0"/>
          <w:sz w:val="24"/>
          <w:szCs w:val="24"/>
        </w:rPr>
        <w:t xml:space="preserve">  (4 hour minimum)</w:t>
      </w:r>
    </w:p>
    <w:p w:rsidR="001C7ED6" w:rsidRPr="00A47AAC" w:rsidRDefault="001C7ED6" w:rsidP="001C7ED6">
      <w:pPr>
        <w:numPr>
          <w:ilvl w:val="0"/>
          <w:numId w:val="5"/>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Firm Date Reservation                  </w:t>
      </w:r>
      <w:r w:rsidR="00477FB2" w:rsidRPr="00A47AAC">
        <w:rPr>
          <w:rFonts w:eastAsiaTheme="minorHAnsi"/>
          <w:color w:val="auto"/>
          <w:kern w:val="0"/>
          <w:sz w:val="24"/>
          <w:szCs w:val="24"/>
        </w:rPr>
        <w:t xml:space="preserve">                            </w:t>
      </w:r>
      <w:r w:rsidRPr="00A47AAC">
        <w:rPr>
          <w:rFonts w:eastAsiaTheme="minorHAnsi"/>
          <w:color w:val="auto"/>
          <w:kern w:val="0"/>
          <w:sz w:val="24"/>
          <w:szCs w:val="24"/>
        </w:rPr>
        <w:t xml:space="preserve">$2500 per day (non-refundable) </w:t>
      </w:r>
    </w:p>
    <w:p w:rsidR="001C7ED6" w:rsidRPr="00A47AAC" w:rsidRDefault="001C7ED6" w:rsidP="00477FB2">
      <w:pPr>
        <w:numPr>
          <w:ilvl w:val="0"/>
          <w:numId w:val="5"/>
        </w:numPr>
        <w:spacing w:after="200" w:line="276" w:lineRule="auto"/>
        <w:ind w:left="360" w:firstLine="0"/>
        <w:contextualSpacing/>
        <w:rPr>
          <w:rFonts w:eastAsiaTheme="minorHAnsi"/>
          <w:color w:val="auto"/>
          <w:kern w:val="0"/>
          <w:sz w:val="24"/>
          <w:szCs w:val="24"/>
        </w:rPr>
      </w:pPr>
      <w:r w:rsidRPr="00A47AAC">
        <w:rPr>
          <w:rFonts w:eastAsiaTheme="minorHAnsi"/>
          <w:color w:val="auto"/>
          <w:kern w:val="0"/>
          <w:sz w:val="24"/>
          <w:szCs w:val="24"/>
        </w:rPr>
        <w:t xml:space="preserve">Expenses                                        </w:t>
      </w:r>
      <w:r w:rsidR="00477FB2" w:rsidRPr="00A47AAC">
        <w:rPr>
          <w:rFonts w:eastAsiaTheme="minorHAnsi"/>
          <w:color w:val="auto"/>
          <w:kern w:val="0"/>
          <w:sz w:val="24"/>
          <w:szCs w:val="24"/>
        </w:rPr>
        <w:t xml:space="preserve">                           </w:t>
      </w:r>
      <w:r w:rsidRPr="00A47AAC">
        <w:rPr>
          <w:rFonts w:eastAsiaTheme="minorHAnsi"/>
          <w:color w:val="auto"/>
          <w:kern w:val="0"/>
          <w:sz w:val="24"/>
          <w:szCs w:val="24"/>
        </w:rPr>
        <w:t>All out-of-pockets at cost</w:t>
      </w:r>
    </w:p>
    <w:p w:rsidR="001C7ED6" w:rsidRPr="001436FA" w:rsidRDefault="001C7ED6" w:rsidP="001436FA">
      <w:pPr>
        <w:numPr>
          <w:ilvl w:val="0"/>
          <w:numId w:val="5"/>
        </w:numPr>
        <w:spacing w:after="200" w:line="276" w:lineRule="auto"/>
        <w:contextualSpacing/>
        <w:rPr>
          <w:rFonts w:eastAsiaTheme="minorHAnsi"/>
          <w:color w:val="auto"/>
          <w:kern w:val="0"/>
          <w:sz w:val="24"/>
          <w:szCs w:val="24"/>
        </w:rPr>
      </w:pPr>
      <w:r w:rsidRPr="001436FA">
        <w:rPr>
          <w:rFonts w:eastAsiaTheme="minorHAnsi"/>
          <w:color w:val="auto"/>
          <w:kern w:val="0"/>
          <w:sz w:val="24"/>
          <w:szCs w:val="24"/>
        </w:rPr>
        <w:t xml:space="preserve">Retainer </w:t>
      </w:r>
      <w:r w:rsidR="001436FA" w:rsidRPr="001436FA">
        <w:rPr>
          <w:rFonts w:eastAsiaTheme="minorHAnsi"/>
          <w:color w:val="auto"/>
          <w:kern w:val="0"/>
          <w:sz w:val="24"/>
          <w:szCs w:val="24"/>
        </w:rPr>
        <w:t xml:space="preserve"> </w:t>
      </w:r>
      <w:r w:rsidRPr="001436FA">
        <w:rPr>
          <w:rFonts w:eastAsiaTheme="minorHAnsi"/>
          <w:color w:val="auto"/>
          <w:kern w:val="0"/>
          <w:sz w:val="24"/>
          <w:szCs w:val="24"/>
        </w:rPr>
        <w:t xml:space="preserve">                                      </w:t>
      </w:r>
      <w:r w:rsidR="00477FB2" w:rsidRPr="001436FA">
        <w:rPr>
          <w:rFonts w:eastAsiaTheme="minorHAnsi"/>
          <w:color w:val="auto"/>
          <w:kern w:val="0"/>
          <w:sz w:val="24"/>
          <w:szCs w:val="24"/>
        </w:rPr>
        <w:t xml:space="preserve">                           </w:t>
      </w:r>
      <w:r w:rsidRPr="001436FA">
        <w:rPr>
          <w:rFonts w:eastAsiaTheme="minorHAnsi"/>
          <w:color w:val="auto"/>
          <w:kern w:val="0"/>
          <w:sz w:val="24"/>
          <w:szCs w:val="24"/>
        </w:rPr>
        <w:t xml:space="preserve"> $10,000</w:t>
      </w:r>
      <w:r w:rsidR="001436FA" w:rsidRPr="001436FA">
        <w:rPr>
          <w:rFonts w:eastAsiaTheme="minorHAnsi"/>
          <w:color w:val="auto"/>
          <w:kern w:val="0"/>
          <w:sz w:val="24"/>
          <w:szCs w:val="24"/>
        </w:rPr>
        <w:t xml:space="preserve">                                                                                                                </w:t>
      </w:r>
      <w:r w:rsidRPr="001436FA">
        <w:rPr>
          <w:rFonts w:eastAsiaTheme="minorHAnsi"/>
          <w:color w:val="auto"/>
          <w:kern w:val="0"/>
          <w:sz w:val="24"/>
          <w:szCs w:val="24"/>
        </w:rPr>
        <w:t xml:space="preserve"> </w:t>
      </w:r>
      <w:r w:rsidR="001436FA" w:rsidRPr="001436FA">
        <w:rPr>
          <w:rFonts w:eastAsiaTheme="minorHAnsi"/>
          <w:color w:val="auto"/>
          <w:kern w:val="0"/>
          <w:sz w:val="24"/>
          <w:szCs w:val="24"/>
        </w:rPr>
        <w:t xml:space="preserve">                                                                  </w:t>
      </w:r>
    </w:p>
    <w:p w:rsidR="001C7ED6" w:rsidRPr="00A47AAC" w:rsidRDefault="001C7ED6" w:rsidP="001C7ED6">
      <w:pPr>
        <w:numPr>
          <w:ilvl w:val="0"/>
          <w:numId w:val="5"/>
        </w:numPr>
        <w:spacing w:after="200" w:line="276" w:lineRule="auto"/>
        <w:contextualSpacing/>
        <w:rPr>
          <w:rFonts w:eastAsiaTheme="minorHAnsi"/>
          <w:color w:val="auto"/>
          <w:kern w:val="0"/>
          <w:sz w:val="24"/>
          <w:szCs w:val="24"/>
        </w:rPr>
      </w:pPr>
      <w:r w:rsidRPr="00A47AAC">
        <w:rPr>
          <w:rFonts w:eastAsiaTheme="minorHAnsi"/>
          <w:color w:val="auto"/>
          <w:kern w:val="0"/>
          <w:sz w:val="24"/>
          <w:szCs w:val="24"/>
        </w:rPr>
        <w:t xml:space="preserve">Graphics and Analytics                   </w:t>
      </w:r>
      <w:r w:rsidR="00477FB2" w:rsidRPr="00A47AAC">
        <w:rPr>
          <w:rFonts w:eastAsiaTheme="minorHAnsi"/>
          <w:color w:val="auto"/>
          <w:kern w:val="0"/>
          <w:sz w:val="24"/>
          <w:szCs w:val="24"/>
        </w:rPr>
        <w:t xml:space="preserve">                         </w:t>
      </w:r>
      <w:r w:rsidRPr="00A47AAC">
        <w:rPr>
          <w:rFonts w:eastAsiaTheme="minorHAnsi"/>
          <w:color w:val="auto"/>
          <w:kern w:val="0"/>
          <w:sz w:val="24"/>
          <w:szCs w:val="24"/>
        </w:rPr>
        <w:t>At cost</w:t>
      </w:r>
      <w:r w:rsidR="001436FA" w:rsidRPr="001436FA">
        <w:rPr>
          <w:rFonts w:eastAsiaTheme="minorHAnsi"/>
          <w:color w:val="auto"/>
          <w:kern w:val="0"/>
          <w:sz w:val="24"/>
          <w:szCs w:val="24"/>
        </w:rPr>
        <w:t xml:space="preserve"> </w:t>
      </w:r>
    </w:p>
    <w:p w:rsidR="001C7ED6" w:rsidRPr="00A47AAC" w:rsidRDefault="001C7ED6" w:rsidP="001C7ED6">
      <w:pPr>
        <w:spacing w:after="200" w:line="276" w:lineRule="auto"/>
        <w:ind w:left="720"/>
        <w:contextualSpacing/>
        <w:rPr>
          <w:rFonts w:eastAsiaTheme="minorHAnsi"/>
          <w:color w:val="auto"/>
          <w:kern w:val="0"/>
          <w:sz w:val="24"/>
          <w:szCs w:val="24"/>
        </w:rPr>
      </w:pPr>
    </w:p>
    <w:p w:rsidR="00370AF6" w:rsidRDefault="00370AF6" w:rsidP="001C7ED6">
      <w:pPr>
        <w:spacing w:after="200" w:line="276" w:lineRule="auto"/>
        <w:rPr>
          <w:rFonts w:eastAsiaTheme="minorHAnsi"/>
          <w:color w:val="auto"/>
          <w:kern w:val="0"/>
          <w:sz w:val="24"/>
          <w:szCs w:val="24"/>
        </w:rPr>
      </w:pPr>
      <w:r>
        <w:rPr>
          <w:rFonts w:eastAsiaTheme="minorHAnsi"/>
          <w:color w:val="auto"/>
          <w:kern w:val="0"/>
          <w:sz w:val="24"/>
          <w:szCs w:val="24"/>
        </w:rPr>
        <w:t>Rates are negotiable depending on scope of engagement.  A blended flat rate is available as is a flat report fee depending on the facts and client’s</w:t>
      </w:r>
      <w:r w:rsidR="002C114B">
        <w:rPr>
          <w:rFonts w:eastAsiaTheme="minorHAnsi"/>
          <w:color w:val="auto"/>
          <w:kern w:val="0"/>
          <w:sz w:val="24"/>
          <w:szCs w:val="24"/>
        </w:rPr>
        <w:t xml:space="preserve"> expectations and</w:t>
      </w:r>
      <w:r>
        <w:rPr>
          <w:rFonts w:eastAsiaTheme="minorHAnsi"/>
          <w:color w:val="auto"/>
          <w:kern w:val="0"/>
          <w:sz w:val="24"/>
          <w:szCs w:val="24"/>
        </w:rPr>
        <w:t xml:space="preserve"> requirements.</w:t>
      </w:r>
    </w:p>
    <w:p w:rsidR="001C7ED6" w:rsidRPr="00A47AAC" w:rsidRDefault="001C7ED6" w:rsidP="001C7ED6">
      <w:pPr>
        <w:spacing w:after="200" w:line="276" w:lineRule="auto"/>
        <w:rPr>
          <w:rFonts w:eastAsiaTheme="minorHAnsi"/>
          <w:color w:val="auto"/>
          <w:kern w:val="0"/>
          <w:sz w:val="24"/>
          <w:szCs w:val="24"/>
        </w:rPr>
      </w:pPr>
      <w:r w:rsidRPr="00A47AAC">
        <w:rPr>
          <w:rFonts w:eastAsiaTheme="minorHAnsi"/>
          <w:color w:val="auto"/>
          <w:kern w:val="0"/>
          <w:sz w:val="24"/>
          <w:szCs w:val="24"/>
        </w:rPr>
        <w:t>To the extent other experts are required or associates are utilized, rates shall be agreed upon in advance of deployment.</w:t>
      </w:r>
    </w:p>
    <w:p w:rsidR="001C7ED6" w:rsidRPr="00A47AAC" w:rsidRDefault="001C7ED6" w:rsidP="001C7ED6">
      <w:pPr>
        <w:spacing w:after="200" w:line="276" w:lineRule="auto"/>
        <w:rPr>
          <w:rFonts w:eastAsiaTheme="minorHAnsi"/>
          <w:color w:val="auto"/>
          <w:kern w:val="0"/>
          <w:sz w:val="24"/>
          <w:szCs w:val="24"/>
        </w:rPr>
      </w:pPr>
      <w:r w:rsidRPr="00A47AAC">
        <w:rPr>
          <w:rFonts w:eastAsiaTheme="minorHAnsi"/>
          <w:color w:val="auto"/>
          <w:kern w:val="0"/>
          <w:sz w:val="24"/>
          <w:szCs w:val="24"/>
        </w:rPr>
        <w:t xml:space="preserve">Bills are rendered monthly unless otherwise agreed and are due upon receipt.  All other terms of services </w:t>
      </w:r>
      <w:r w:rsidR="00CA0097" w:rsidRPr="00A47AAC">
        <w:rPr>
          <w:rFonts w:eastAsiaTheme="minorHAnsi"/>
          <w:color w:val="auto"/>
          <w:kern w:val="0"/>
          <w:sz w:val="24"/>
          <w:szCs w:val="24"/>
        </w:rPr>
        <w:t xml:space="preserve">or any deviations from the above </w:t>
      </w:r>
      <w:r w:rsidRPr="00A47AAC">
        <w:rPr>
          <w:rFonts w:eastAsiaTheme="minorHAnsi"/>
          <w:color w:val="auto"/>
          <w:kern w:val="0"/>
          <w:sz w:val="24"/>
          <w:szCs w:val="24"/>
        </w:rPr>
        <w:t>shall be as per</w:t>
      </w:r>
      <w:r w:rsidR="00CA0097" w:rsidRPr="00A47AAC">
        <w:rPr>
          <w:rFonts w:eastAsiaTheme="minorHAnsi"/>
          <w:color w:val="auto"/>
          <w:kern w:val="0"/>
          <w:sz w:val="24"/>
          <w:szCs w:val="24"/>
        </w:rPr>
        <w:t xml:space="preserve"> the applicable </w:t>
      </w:r>
      <w:r w:rsidRPr="00A47AAC">
        <w:rPr>
          <w:rFonts w:eastAsiaTheme="minorHAnsi"/>
          <w:color w:val="auto"/>
          <w:kern w:val="0"/>
          <w:sz w:val="24"/>
          <w:szCs w:val="24"/>
        </w:rPr>
        <w:t xml:space="preserve">Engagement </w:t>
      </w:r>
      <w:r w:rsidR="00477FB2" w:rsidRPr="00A47AAC">
        <w:rPr>
          <w:rFonts w:eastAsiaTheme="minorHAnsi"/>
          <w:color w:val="auto"/>
          <w:kern w:val="0"/>
          <w:sz w:val="24"/>
          <w:szCs w:val="24"/>
        </w:rPr>
        <w:t>L</w:t>
      </w:r>
      <w:r w:rsidRPr="00A47AAC">
        <w:rPr>
          <w:rFonts w:eastAsiaTheme="minorHAnsi"/>
          <w:color w:val="auto"/>
          <w:kern w:val="0"/>
          <w:sz w:val="24"/>
          <w:szCs w:val="24"/>
        </w:rPr>
        <w:t>etter.</w:t>
      </w:r>
    </w:p>
    <w:p w:rsidR="001C7ED6" w:rsidRPr="00A47AAC" w:rsidRDefault="001C7ED6" w:rsidP="001C7ED6">
      <w:pPr>
        <w:spacing w:after="200" w:line="276" w:lineRule="auto"/>
        <w:jc w:val="center"/>
        <w:rPr>
          <w:rFonts w:eastAsiaTheme="minorHAnsi"/>
          <w:b/>
          <w:color w:val="auto"/>
          <w:kern w:val="0"/>
          <w:sz w:val="22"/>
          <w:szCs w:val="22"/>
        </w:rPr>
      </w:pPr>
    </w:p>
    <w:sectPr w:rsidR="001C7ED6" w:rsidRPr="00A47AAC" w:rsidSect="00500D9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B2" w:rsidRDefault="00B76AB2" w:rsidP="000F4338">
      <w:r>
        <w:separator/>
      </w:r>
    </w:p>
  </w:endnote>
  <w:endnote w:type="continuationSeparator" w:id="0">
    <w:p w:rsidR="00B76AB2" w:rsidRDefault="00B76AB2" w:rsidP="000F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F0E" w:rsidRPr="0076366D" w:rsidRDefault="0076366D">
    <w:pPr>
      <w:pStyle w:val="Footer"/>
      <w:pBdr>
        <w:top w:val="single" w:sz="4" w:space="1" w:color="D9D9D9" w:themeColor="background1" w:themeShade="D9"/>
      </w:pBdr>
      <w:rPr>
        <w:b/>
      </w:rPr>
    </w:pPr>
    <w:r w:rsidRPr="0076366D">
      <w:rPr>
        <w:noProof/>
        <w:sz w:val="16"/>
      </w:rPr>
      <w:t>{00911399;v1}</w:t>
    </w:r>
    <w:sdt>
      <w:sdtPr>
        <w:id w:val="18169063"/>
        <w:docPartObj>
          <w:docPartGallery w:val="Page Numbers (Bottom of Page)"/>
          <w:docPartUnique/>
        </w:docPartObj>
      </w:sdtPr>
      <w:sdtEndPr>
        <w:rPr>
          <w:color w:val="7F7F7F" w:themeColor="background1" w:themeShade="7F"/>
          <w:spacing w:val="60"/>
        </w:rPr>
      </w:sdtEndPr>
      <w:sdtContent>
        <w:r w:rsidR="006171E2" w:rsidRPr="0076366D">
          <w:fldChar w:fldCharType="begin"/>
        </w:r>
        <w:r w:rsidR="006171E2" w:rsidRPr="0076366D">
          <w:instrText xml:space="preserve"> PAGE   \* MERGEFORMAT </w:instrText>
        </w:r>
        <w:r w:rsidR="006171E2" w:rsidRPr="0076366D">
          <w:fldChar w:fldCharType="separate"/>
        </w:r>
        <w:r w:rsidR="00D515EC" w:rsidRPr="00D515EC">
          <w:rPr>
            <w:b/>
            <w:noProof/>
          </w:rPr>
          <w:t>1</w:t>
        </w:r>
        <w:r w:rsidR="006171E2" w:rsidRPr="0076366D">
          <w:rPr>
            <w:b/>
            <w:noProof/>
          </w:rPr>
          <w:fldChar w:fldCharType="end"/>
        </w:r>
        <w:r w:rsidR="00BE2F0E" w:rsidRPr="0076366D">
          <w:rPr>
            <w:b/>
          </w:rPr>
          <w:t xml:space="preserve"> | </w:t>
        </w:r>
        <w:r w:rsidR="00BE2F0E" w:rsidRPr="0076366D">
          <w:rPr>
            <w:color w:val="7F7F7F" w:themeColor="background1" w:themeShade="7F"/>
            <w:spacing w:val="60"/>
          </w:rPr>
          <w:t>Page</w:t>
        </w:r>
      </w:sdtContent>
    </w:sdt>
  </w:p>
  <w:p w:rsidR="00313107" w:rsidRPr="0076366D" w:rsidRDefault="00313107" w:rsidP="00660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B2" w:rsidRDefault="00B76AB2" w:rsidP="000F4338">
      <w:r>
        <w:separator/>
      </w:r>
    </w:p>
  </w:footnote>
  <w:footnote w:type="continuationSeparator" w:id="0">
    <w:p w:rsidR="00B76AB2" w:rsidRDefault="00B76AB2" w:rsidP="000F4338">
      <w:r>
        <w:continuationSeparator/>
      </w:r>
    </w:p>
  </w:footnote>
  <w:footnote w:id="1">
    <w:p w:rsidR="00477FB2" w:rsidRDefault="00477FB2">
      <w:pPr>
        <w:pStyle w:val="FootnoteText"/>
      </w:pPr>
      <w:r>
        <w:rPr>
          <w:rStyle w:val="FootnoteReference"/>
        </w:rPr>
        <w:footnoteRef/>
      </w:r>
      <w:r>
        <w:t xml:space="preserve"> And Preparation for Either</w:t>
      </w:r>
    </w:p>
  </w:footnote>
  <w:footnote w:id="2">
    <w:p w:rsidR="00477FB2" w:rsidRDefault="00477FB2">
      <w:pPr>
        <w:pStyle w:val="FootnoteText"/>
      </w:pPr>
      <w:r>
        <w:rPr>
          <w:rStyle w:val="FootnoteReference"/>
        </w:rPr>
        <w:footnoteRef/>
      </w:r>
      <w:r>
        <w:t xml:space="preserve"> Plus $25.00 per hour if word processing is outsourced</w:t>
      </w:r>
    </w:p>
  </w:footnote>
  <w:footnote w:id="3">
    <w:p w:rsidR="009B0304" w:rsidRDefault="009B0304">
      <w:pPr>
        <w:pStyle w:val="FootnoteText"/>
      </w:pPr>
      <w:r>
        <w:rPr>
          <w:rStyle w:val="FootnoteReference"/>
        </w:rPr>
        <w:footnoteRef/>
      </w:r>
      <w:r>
        <w:t xml:space="preserve"> Travel may not appear if reading materials on train, plane or bus.</w:t>
      </w:r>
      <w:r w:rsidR="00802CE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6DC"/>
    <w:multiLevelType w:val="hybridMultilevel"/>
    <w:tmpl w:val="5888B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7034C"/>
    <w:multiLevelType w:val="hybridMultilevel"/>
    <w:tmpl w:val="5D5CE9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583672"/>
    <w:multiLevelType w:val="hybridMultilevel"/>
    <w:tmpl w:val="D1ECE932"/>
    <w:lvl w:ilvl="0" w:tplc="04090001">
      <w:start w:val="1"/>
      <w:numFmt w:val="bullet"/>
      <w:lvlText w:val=""/>
      <w:lvlJc w:val="left"/>
      <w:pPr>
        <w:ind w:left="82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89C6147"/>
    <w:multiLevelType w:val="hybridMultilevel"/>
    <w:tmpl w:val="53EC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C6620"/>
    <w:multiLevelType w:val="hybridMultilevel"/>
    <w:tmpl w:val="6ACC97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00721B"/>
    <w:multiLevelType w:val="hybridMultilevel"/>
    <w:tmpl w:val="215889D2"/>
    <w:lvl w:ilvl="0" w:tplc="BBB6E20E">
      <w:start w:val="1"/>
      <w:numFmt w:val="bullet"/>
      <w:pStyle w:val="00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F51872"/>
    <w:multiLevelType w:val="hybridMultilevel"/>
    <w:tmpl w:val="27A8BEAE"/>
    <w:lvl w:ilvl="0" w:tplc="04090001">
      <w:start w:val="1"/>
      <w:numFmt w:val="bullet"/>
      <w:lvlText w:val=""/>
      <w:lvlJc w:val="left"/>
      <w:pPr>
        <w:ind w:left="76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3BB6851"/>
    <w:multiLevelType w:val="hybridMultilevel"/>
    <w:tmpl w:val="96C6CF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78548D7"/>
    <w:multiLevelType w:val="hybridMultilevel"/>
    <w:tmpl w:val="287689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AFE140A"/>
    <w:multiLevelType w:val="hybridMultilevel"/>
    <w:tmpl w:val="EF9CB3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B7A1789"/>
    <w:multiLevelType w:val="hybridMultilevel"/>
    <w:tmpl w:val="E17E3E8A"/>
    <w:lvl w:ilvl="0" w:tplc="A5F655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C92852"/>
    <w:multiLevelType w:val="hybridMultilevel"/>
    <w:tmpl w:val="376C8900"/>
    <w:lvl w:ilvl="0" w:tplc="04090001">
      <w:start w:val="1"/>
      <w:numFmt w:val="bullet"/>
      <w:lvlText w:val=""/>
      <w:lvlJc w:val="left"/>
      <w:pPr>
        <w:ind w:left="76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AD54C02"/>
    <w:multiLevelType w:val="hybridMultilevel"/>
    <w:tmpl w:val="6028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D0E72F8"/>
    <w:multiLevelType w:val="hybridMultilevel"/>
    <w:tmpl w:val="A50680E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D9376F0"/>
    <w:multiLevelType w:val="hybridMultilevel"/>
    <w:tmpl w:val="631A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25385"/>
    <w:multiLevelType w:val="hybridMultilevel"/>
    <w:tmpl w:val="A2120D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num>
  <w:num w:numId="3">
    <w:abstractNumId w:val="14"/>
  </w:num>
  <w:num w:numId="4">
    <w:abstractNumId w:val="10"/>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8"/>
    <w:rsid w:val="0000278F"/>
    <w:rsid w:val="000176ED"/>
    <w:rsid w:val="00037F1B"/>
    <w:rsid w:val="00057631"/>
    <w:rsid w:val="00090684"/>
    <w:rsid w:val="0009315D"/>
    <w:rsid w:val="000B3151"/>
    <w:rsid w:val="000D719B"/>
    <w:rsid w:val="000F4338"/>
    <w:rsid w:val="00106C68"/>
    <w:rsid w:val="00116A97"/>
    <w:rsid w:val="001436FA"/>
    <w:rsid w:val="001546E9"/>
    <w:rsid w:val="00165D32"/>
    <w:rsid w:val="001722B8"/>
    <w:rsid w:val="001A2E3E"/>
    <w:rsid w:val="001C7ED6"/>
    <w:rsid w:val="001F0371"/>
    <w:rsid w:val="001F701D"/>
    <w:rsid w:val="00267E98"/>
    <w:rsid w:val="00287433"/>
    <w:rsid w:val="002A3F50"/>
    <w:rsid w:val="002C114B"/>
    <w:rsid w:val="002F7B8D"/>
    <w:rsid w:val="00305D95"/>
    <w:rsid w:val="00313107"/>
    <w:rsid w:val="00315522"/>
    <w:rsid w:val="0035489A"/>
    <w:rsid w:val="00370AF6"/>
    <w:rsid w:val="00376644"/>
    <w:rsid w:val="003825C7"/>
    <w:rsid w:val="003A7BB0"/>
    <w:rsid w:val="003C6612"/>
    <w:rsid w:val="004144B2"/>
    <w:rsid w:val="004367FB"/>
    <w:rsid w:val="00477FB2"/>
    <w:rsid w:val="004834A5"/>
    <w:rsid w:val="0048737D"/>
    <w:rsid w:val="004F5790"/>
    <w:rsid w:val="005001A0"/>
    <w:rsid w:val="00500D92"/>
    <w:rsid w:val="00520679"/>
    <w:rsid w:val="0058256B"/>
    <w:rsid w:val="005969FA"/>
    <w:rsid w:val="005A37BD"/>
    <w:rsid w:val="005B2021"/>
    <w:rsid w:val="005B5C01"/>
    <w:rsid w:val="005C18E9"/>
    <w:rsid w:val="006171E2"/>
    <w:rsid w:val="006457D8"/>
    <w:rsid w:val="00660A97"/>
    <w:rsid w:val="00701054"/>
    <w:rsid w:val="0070360B"/>
    <w:rsid w:val="00725785"/>
    <w:rsid w:val="00730D88"/>
    <w:rsid w:val="00737357"/>
    <w:rsid w:val="00757D7F"/>
    <w:rsid w:val="0076366D"/>
    <w:rsid w:val="00792104"/>
    <w:rsid w:val="007A3997"/>
    <w:rsid w:val="007A44CE"/>
    <w:rsid w:val="007B58C1"/>
    <w:rsid w:val="00802CE4"/>
    <w:rsid w:val="00820C8E"/>
    <w:rsid w:val="00846131"/>
    <w:rsid w:val="008A7362"/>
    <w:rsid w:val="008B0274"/>
    <w:rsid w:val="008B2936"/>
    <w:rsid w:val="008B6C50"/>
    <w:rsid w:val="008B7A53"/>
    <w:rsid w:val="008C3050"/>
    <w:rsid w:val="008C55FE"/>
    <w:rsid w:val="008D3933"/>
    <w:rsid w:val="008D75C2"/>
    <w:rsid w:val="008E0837"/>
    <w:rsid w:val="008F3070"/>
    <w:rsid w:val="00903A9B"/>
    <w:rsid w:val="00916F4F"/>
    <w:rsid w:val="009337A5"/>
    <w:rsid w:val="0095450E"/>
    <w:rsid w:val="00972050"/>
    <w:rsid w:val="009B0304"/>
    <w:rsid w:val="009E43A1"/>
    <w:rsid w:val="00A04D30"/>
    <w:rsid w:val="00A13356"/>
    <w:rsid w:val="00A251F9"/>
    <w:rsid w:val="00A36E59"/>
    <w:rsid w:val="00A47AAC"/>
    <w:rsid w:val="00A660C3"/>
    <w:rsid w:val="00A723FF"/>
    <w:rsid w:val="00AE5801"/>
    <w:rsid w:val="00AF6BBA"/>
    <w:rsid w:val="00B0717D"/>
    <w:rsid w:val="00B10702"/>
    <w:rsid w:val="00B17C34"/>
    <w:rsid w:val="00B2172A"/>
    <w:rsid w:val="00B54C2E"/>
    <w:rsid w:val="00B56D6F"/>
    <w:rsid w:val="00B76AB2"/>
    <w:rsid w:val="00B86C8C"/>
    <w:rsid w:val="00B8751C"/>
    <w:rsid w:val="00B929F0"/>
    <w:rsid w:val="00B9496C"/>
    <w:rsid w:val="00B95D98"/>
    <w:rsid w:val="00BA1EFB"/>
    <w:rsid w:val="00BD1FCE"/>
    <w:rsid w:val="00BE2F0E"/>
    <w:rsid w:val="00C211C1"/>
    <w:rsid w:val="00C642A1"/>
    <w:rsid w:val="00C745D8"/>
    <w:rsid w:val="00CA0097"/>
    <w:rsid w:val="00CA1F66"/>
    <w:rsid w:val="00CB21F5"/>
    <w:rsid w:val="00CC2139"/>
    <w:rsid w:val="00CD7809"/>
    <w:rsid w:val="00CE0F8F"/>
    <w:rsid w:val="00CF188E"/>
    <w:rsid w:val="00D14627"/>
    <w:rsid w:val="00D3390A"/>
    <w:rsid w:val="00D515EC"/>
    <w:rsid w:val="00D81519"/>
    <w:rsid w:val="00D84E91"/>
    <w:rsid w:val="00DD39E0"/>
    <w:rsid w:val="00E00077"/>
    <w:rsid w:val="00E021E0"/>
    <w:rsid w:val="00E104A0"/>
    <w:rsid w:val="00E13889"/>
    <w:rsid w:val="00E241FB"/>
    <w:rsid w:val="00E274C6"/>
    <w:rsid w:val="00E84626"/>
    <w:rsid w:val="00EC2286"/>
    <w:rsid w:val="00EF4F80"/>
    <w:rsid w:val="00F00172"/>
    <w:rsid w:val="00F146C9"/>
    <w:rsid w:val="00F21696"/>
    <w:rsid w:val="00F570CD"/>
    <w:rsid w:val="00F62377"/>
    <w:rsid w:val="00F75C2F"/>
    <w:rsid w:val="00F9420D"/>
    <w:rsid w:val="00FC1A64"/>
    <w:rsid w:val="00FC6532"/>
    <w:rsid w:val="00FC6565"/>
    <w:rsid w:val="00FD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38"/>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338"/>
    <w:rPr>
      <w:rFonts w:ascii="Tahoma" w:hAnsi="Tahoma" w:cs="Tahoma"/>
      <w:sz w:val="16"/>
      <w:szCs w:val="16"/>
    </w:rPr>
  </w:style>
  <w:style w:type="character" w:customStyle="1" w:styleId="BalloonTextChar">
    <w:name w:val="Balloon Text Char"/>
    <w:link w:val="BalloonText"/>
    <w:uiPriority w:val="99"/>
    <w:semiHidden/>
    <w:rsid w:val="000F4338"/>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0F4338"/>
    <w:pPr>
      <w:tabs>
        <w:tab w:val="center" w:pos="4680"/>
        <w:tab w:val="right" w:pos="9360"/>
      </w:tabs>
    </w:pPr>
  </w:style>
  <w:style w:type="character" w:customStyle="1" w:styleId="HeaderChar">
    <w:name w:val="Header Char"/>
    <w:link w:val="Header"/>
    <w:uiPriority w:val="99"/>
    <w:rsid w:val="000F4338"/>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0F4338"/>
    <w:pPr>
      <w:tabs>
        <w:tab w:val="center" w:pos="4680"/>
        <w:tab w:val="right" w:pos="9360"/>
      </w:tabs>
    </w:pPr>
  </w:style>
  <w:style w:type="character" w:customStyle="1" w:styleId="FooterChar">
    <w:name w:val="Footer Char"/>
    <w:link w:val="Footer"/>
    <w:uiPriority w:val="99"/>
    <w:rsid w:val="000F4338"/>
    <w:rPr>
      <w:rFonts w:ascii="Times New Roman" w:eastAsia="Times New Roman" w:hAnsi="Times New Roman" w:cs="Times New Roman"/>
      <w:color w:val="000000"/>
      <w:kern w:val="28"/>
      <w:sz w:val="20"/>
      <w:szCs w:val="20"/>
    </w:rPr>
  </w:style>
  <w:style w:type="character" w:styleId="Hyperlink">
    <w:name w:val="Hyperlink"/>
    <w:basedOn w:val="DefaultParagraphFont"/>
    <w:unhideWhenUsed/>
    <w:rsid w:val="00313107"/>
    <w:rPr>
      <w:color w:val="0000FF" w:themeColor="hyperlink"/>
      <w:u w:val="single"/>
    </w:rPr>
  </w:style>
  <w:style w:type="paragraph" w:customStyle="1" w:styleId="00BulletList">
    <w:name w:val="00 Bullet List"/>
    <w:basedOn w:val="Normal"/>
    <w:rsid w:val="00313107"/>
    <w:pPr>
      <w:numPr>
        <w:numId w:val="1"/>
      </w:numPr>
    </w:pPr>
    <w:rPr>
      <w:color w:val="auto"/>
      <w:kern w:val="0"/>
      <w:sz w:val="24"/>
      <w:szCs w:val="24"/>
    </w:rPr>
  </w:style>
  <w:style w:type="paragraph" w:customStyle="1" w:styleId="00Normal">
    <w:name w:val="00 Normal"/>
    <w:basedOn w:val="Normal"/>
    <w:link w:val="00NormalChar"/>
    <w:rsid w:val="00313107"/>
    <w:pPr>
      <w:spacing w:after="240"/>
    </w:pPr>
    <w:rPr>
      <w:color w:val="auto"/>
      <w:kern w:val="0"/>
      <w:sz w:val="24"/>
      <w:szCs w:val="24"/>
    </w:rPr>
  </w:style>
  <w:style w:type="paragraph" w:customStyle="1" w:styleId="00TitleC">
    <w:name w:val="00 Title C"/>
    <w:basedOn w:val="Normal"/>
    <w:rsid w:val="00313107"/>
    <w:pPr>
      <w:spacing w:after="240"/>
      <w:jc w:val="center"/>
    </w:pPr>
    <w:rPr>
      <w:b/>
      <w:color w:val="auto"/>
      <w:kern w:val="0"/>
      <w:sz w:val="24"/>
      <w:szCs w:val="24"/>
    </w:rPr>
  </w:style>
  <w:style w:type="paragraph" w:customStyle="1" w:styleId="Tabletext">
    <w:name w:val="Table text"/>
    <w:basedOn w:val="Normal"/>
    <w:rsid w:val="00313107"/>
    <w:rPr>
      <w:color w:val="auto"/>
      <w:kern w:val="0"/>
      <w:sz w:val="22"/>
      <w:szCs w:val="22"/>
    </w:rPr>
  </w:style>
  <w:style w:type="character" w:customStyle="1" w:styleId="00NormalChar">
    <w:name w:val="00 Normal Char"/>
    <w:basedOn w:val="DefaultParagraphFont"/>
    <w:link w:val="00Normal"/>
    <w:rsid w:val="00313107"/>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B0304"/>
  </w:style>
  <w:style w:type="character" w:customStyle="1" w:styleId="FootnoteTextChar">
    <w:name w:val="Footnote Text Char"/>
    <w:basedOn w:val="DefaultParagraphFont"/>
    <w:link w:val="FootnoteText"/>
    <w:uiPriority w:val="99"/>
    <w:semiHidden/>
    <w:rsid w:val="009B0304"/>
    <w:rPr>
      <w:rFonts w:ascii="Times New Roman" w:eastAsia="Times New Roman" w:hAnsi="Times New Roman"/>
      <w:color w:val="000000"/>
      <w:kern w:val="28"/>
    </w:rPr>
  </w:style>
  <w:style w:type="character" w:styleId="FootnoteReference">
    <w:name w:val="footnote reference"/>
    <w:basedOn w:val="DefaultParagraphFont"/>
    <w:uiPriority w:val="99"/>
    <w:semiHidden/>
    <w:unhideWhenUsed/>
    <w:rsid w:val="009B03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38"/>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338"/>
    <w:rPr>
      <w:rFonts w:ascii="Tahoma" w:hAnsi="Tahoma" w:cs="Tahoma"/>
      <w:sz w:val="16"/>
      <w:szCs w:val="16"/>
    </w:rPr>
  </w:style>
  <w:style w:type="character" w:customStyle="1" w:styleId="BalloonTextChar">
    <w:name w:val="Balloon Text Char"/>
    <w:link w:val="BalloonText"/>
    <w:uiPriority w:val="99"/>
    <w:semiHidden/>
    <w:rsid w:val="000F4338"/>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0F4338"/>
    <w:pPr>
      <w:tabs>
        <w:tab w:val="center" w:pos="4680"/>
        <w:tab w:val="right" w:pos="9360"/>
      </w:tabs>
    </w:pPr>
  </w:style>
  <w:style w:type="character" w:customStyle="1" w:styleId="HeaderChar">
    <w:name w:val="Header Char"/>
    <w:link w:val="Header"/>
    <w:uiPriority w:val="99"/>
    <w:rsid w:val="000F4338"/>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0F4338"/>
    <w:pPr>
      <w:tabs>
        <w:tab w:val="center" w:pos="4680"/>
        <w:tab w:val="right" w:pos="9360"/>
      </w:tabs>
    </w:pPr>
  </w:style>
  <w:style w:type="character" w:customStyle="1" w:styleId="FooterChar">
    <w:name w:val="Footer Char"/>
    <w:link w:val="Footer"/>
    <w:uiPriority w:val="99"/>
    <w:rsid w:val="000F4338"/>
    <w:rPr>
      <w:rFonts w:ascii="Times New Roman" w:eastAsia="Times New Roman" w:hAnsi="Times New Roman" w:cs="Times New Roman"/>
      <w:color w:val="000000"/>
      <w:kern w:val="28"/>
      <w:sz w:val="20"/>
      <w:szCs w:val="20"/>
    </w:rPr>
  </w:style>
  <w:style w:type="character" w:styleId="Hyperlink">
    <w:name w:val="Hyperlink"/>
    <w:basedOn w:val="DefaultParagraphFont"/>
    <w:unhideWhenUsed/>
    <w:rsid w:val="00313107"/>
    <w:rPr>
      <w:color w:val="0000FF" w:themeColor="hyperlink"/>
      <w:u w:val="single"/>
    </w:rPr>
  </w:style>
  <w:style w:type="paragraph" w:customStyle="1" w:styleId="00BulletList">
    <w:name w:val="00 Bullet List"/>
    <w:basedOn w:val="Normal"/>
    <w:rsid w:val="00313107"/>
    <w:pPr>
      <w:numPr>
        <w:numId w:val="1"/>
      </w:numPr>
    </w:pPr>
    <w:rPr>
      <w:color w:val="auto"/>
      <w:kern w:val="0"/>
      <w:sz w:val="24"/>
      <w:szCs w:val="24"/>
    </w:rPr>
  </w:style>
  <w:style w:type="paragraph" w:customStyle="1" w:styleId="00Normal">
    <w:name w:val="00 Normal"/>
    <w:basedOn w:val="Normal"/>
    <w:link w:val="00NormalChar"/>
    <w:rsid w:val="00313107"/>
    <w:pPr>
      <w:spacing w:after="240"/>
    </w:pPr>
    <w:rPr>
      <w:color w:val="auto"/>
      <w:kern w:val="0"/>
      <w:sz w:val="24"/>
      <w:szCs w:val="24"/>
    </w:rPr>
  </w:style>
  <w:style w:type="paragraph" w:customStyle="1" w:styleId="00TitleC">
    <w:name w:val="00 Title C"/>
    <w:basedOn w:val="Normal"/>
    <w:rsid w:val="00313107"/>
    <w:pPr>
      <w:spacing w:after="240"/>
      <w:jc w:val="center"/>
    </w:pPr>
    <w:rPr>
      <w:b/>
      <w:color w:val="auto"/>
      <w:kern w:val="0"/>
      <w:sz w:val="24"/>
      <w:szCs w:val="24"/>
    </w:rPr>
  </w:style>
  <w:style w:type="paragraph" w:customStyle="1" w:styleId="Tabletext">
    <w:name w:val="Table text"/>
    <w:basedOn w:val="Normal"/>
    <w:rsid w:val="00313107"/>
    <w:rPr>
      <w:color w:val="auto"/>
      <w:kern w:val="0"/>
      <w:sz w:val="22"/>
      <w:szCs w:val="22"/>
    </w:rPr>
  </w:style>
  <w:style w:type="character" w:customStyle="1" w:styleId="00NormalChar">
    <w:name w:val="00 Normal Char"/>
    <w:basedOn w:val="DefaultParagraphFont"/>
    <w:link w:val="00Normal"/>
    <w:rsid w:val="00313107"/>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B0304"/>
  </w:style>
  <w:style w:type="character" w:customStyle="1" w:styleId="FootnoteTextChar">
    <w:name w:val="Footnote Text Char"/>
    <w:basedOn w:val="DefaultParagraphFont"/>
    <w:link w:val="FootnoteText"/>
    <w:uiPriority w:val="99"/>
    <w:semiHidden/>
    <w:rsid w:val="009B0304"/>
    <w:rPr>
      <w:rFonts w:ascii="Times New Roman" w:eastAsia="Times New Roman" w:hAnsi="Times New Roman"/>
      <w:color w:val="000000"/>
      <w:kern w:val="28"/>
    </w:rPr>
  </w:style>
  <w:style w:type="character" w:styleId="FootnoteReference">
    <w:name w:val="footnote reference"/>
    <w:basedOn w:val="DefaultParagraphFont"/>
    <w:uiPriority w:val="99"/>
    <w:semiHidden/>
    <w:unhideWhenUsed/>
    <w:rsid w:val="009B0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48118">
      <w:bodyDiv w:val="1"/>
      <w:marLeft w:val="0"/>
      <w:marRight w:val="0"/>
      <w:marTop w:val="0"/>
      <w:marBottom w:val="0"/>
      <w:divBdr>
        <w:top w:val="none" w:sz="0" w:space="0" w:color="auto"/>
        <w:left w:val="none" w:sz="0" w:space="0" w:color="auto"/>
        <w:bottom w:val="none" w:sz="0" w:space="0" w:color="auto"/>
        <w:right w:val="none" w:sz="0" w:space="0" w:color="auto"/>
      </w:divBdr>
    </w:div>
    <w:div w:id="12942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scherer@conradscherer.com" TargetMode="External"/><Relationship Id="rId18" Type="http://schemas.openxmlformats.org/officeDocument/2006/relationships/hyperlink" Target="mailto:jerome.miranowski@faegrebd.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teven@mishanlaw.com" TargetMode="External"/><Relationship Id="rId17" Type="http://schemas.openxmlformats.org/officeDocument/2006/relationships/hyperlink" Target="mailto:csalvo@salvolawfirm.com" TargetMode="External"/><Relationship Id="rId2" Type="http://schemas.openxmlformats.org/officeDocument/2006/relationships/numbering" Target="numbering.xml"/><Relationship Id="rId16" Type="http://schemas.openxmlformats.org/officeDocument/2006/relationships/hyperlink" Target="mailto:tfblaw@ao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rl@pdjassociatesllc.com" TargetMode="External"/><Relationship Id="rId5" Type="http://schemas.openxmlformats.org/officeDocument/2006/relationships/settings" Target="settings.xml"/><Relationship Id="rId15" Type="http://schemas.openxmlformats.org/officeDocument/2006/relationships/hyperlink" Target="mailto:Neil.hartzell@leclairryan.com" TargetMode="External"/><Relationship Id="rId10" Type="http://schemas.openxmlformats.org/officeDocument/2006/relationships/hyperlink" Target="mailto:peterl@pdjassociatesllc.com" TargetMode="External"/><Relationship Id="rId19" Type="http://schemas.openxmlformats.org/officeDocument/2006/relationships/hyperlink" Target="mailto:hrr@rsclaw.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fgallagher@nmmlaw.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D737-6E7A-411B-ACD8-5049D728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3038</Words>
  <Characters>17321</Characters>
  <Application>Microsoft Office Word</Application>
  <DocSecurity>0</DocSecurity>
  <PresentationFormat/>
  <Lines>144</Lines>
  <Paragraphs>40</Paragraphs>
  <ScaleCrop>false</ScaleCrop>
  <HeadingPairs>
    <vt:vector size="2" baseType="variant">
      <vt:variant>
        <vt:lpstr>Title</vt:lpstr>
      </vt:variant>
      <vt:variant>
        <vt:i4>1</vt:i4>
      </vt:variant>
    </vt:vector>
  </HeadingPairs>
  <TitlesOfParts>
    <vt:vector size="1" baseType="lpstr">
      <vt:lpstr>Peter Resume, original (00911399).DOCX</vt:lpstr>
    </vt:vector>
  </TitlesOfParts>
  <LinksUpToDate>false</LinksUpToDate>
  <CharactersWithSpaces>20319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Resume, original (00911399).DOCX</dc:title>
  <dc:subject>00911399;v1/font=8</dc:subject>
  <dc:creator/>
  <cp:lastModifiedBy/>
  <cp:revision>1</cp:revision>
  <dcterms:created xsi:type="dcterms:W3CDTF">2015-06-30T17:00:00Z</dcterms:created>
  <dcterms:modified xsi:type="dcterms:W3CDTF">2015-06-30T17:00:00Z</dcterms:modified>
</cp:coreProperties>
</file>