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1B2A4A"/>
          <w:sz w:val="56"/>
          <w:szCs w:val="56"/>
        </w:rPr>
        <w:t xml:space="preserve">JACOB REBO</w:t>
      </w:r>
    </w:p>
    <w:p>
      <w:pPr>
        <w:spacing w:after="80" w:before="0"/>
      </w:pPr>
      <w:r>
        <w:rPr>
          <w:rFonts w:ascii="Arial" w:cs="Arial" w:eastAsia="Arial" w:hAnsi="Arial"/>
          <w:color w:val="B8922A"/>
          <w:sz w:val="24"/>
          <w:szCs w:val="24"/>
        </w:rPr>
        <w:t xml:space="preserve">JD / MBA  |  AIGP  |  CSSMBB  |  Captain, U.S. Army (Ret.)</w:t>
      </w:r>
    </w:p>
    <w:p>
      <w:pPr>
        <w:pBdr>
          <w:bottom w:val="single" w:color="1B2A4A" w:sz="16" w:space="1"/>
        </w:pBdr>
        <w:spacing w:after="140" w:before="0"/>
      </w:pPr>
    </w:p>
    <w:p>
      <w:pPr>
        <w:spacing w:after="40" w:before="0"/>
      </w:pPr>
      <w:r>
        <w:rPr>
          <w:rFonts w:ascii="Arial" w:cs="Arial" w:eastAsia="Arial" w:hAnsi="Arial"/>
          <w:b/>
          <w:bCs/>
          <w:color w:val="1A1A1A"/>
          <w:sz w:val="22"/>
          <w:szCs w:val="22"/>
        </w:rPr>
        <w:t xml:space="preserve">Founder and Chief Executive Officer  |  </w:t>
      </w:r>
      <w:r>
        <w:rPr>
          <w:rFonts w:ascii="Arial" w:cs="Arial" w:eastAsia="Arial" w:hAnsi="Arial"/>
          <w:b/>
          <w:bCs/>
          <w:color w:val="1B2A4A"/>
          <w:sz w:val="22"/>
          <w:szCs w:val="22"/>
        </w:rPr>
        <w:t xml:space="preserve">Cullis AI, LLC</w:t>
      </w:r>
    </w:p>
    <w:p>
      <w:pPr>
        <w:spacing w:after="160" w:before="0"/>
      </w:pPr>
      <w:r>
        <w:rPr>
          <w:rFonts w:ascii="Arial" w:cs="Arial" w:eastAsia="Arial" w:hAnsi="Arial"/>
          <w:i/>
          <w:iCs/>
          <w:color w:val="444444"/>
          <w:sz w:val="21"/>
          <w:szCs w:val="21"/>
        </w:rPr>
        <w:t xml:space="preserve">AI Governance Consulting  |  Expert Witness Services  |  Accredited Continuing Legal Education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0"/>
            </w:tcMar>
          </w:tcPr>
          <w:p>
            <w:pPr>
              <w:spacing w:after="60" w:before="0"/>
            </w:pPr>
            <w:r>
              <w:rPr>
                <w:rFonts w:ascii="Arial" w:cs="Arial" w:eastAsia="Arial" w:hAnsi="Arial"/>
                <w:b/>
                <w:bCs/>
                <w:color w:val="1B2A4A"/>
                <w:sz w:val="21"/>
                <w:szCs w:val="21"/>
              </w:rPr>
              <w:t xml:space="preserve">Email:  </w:t>
            </w:r>
            <w:r>
              <w:rPr>
                <w:rFonts w:ascii="Arial" w:cs="Arial" w:eastAsia="Arial" w:hAnsi="Arial"/>
                <w:color w:val="1A1A1A"/>
                <w:sz w:val="21"/>
                <w:szCs w:val="21"/>
              </w:rPr>
              <w:t xml:space="preserve">jacobrebo@cullis.ai</w:t>
            </w:r>
          </w:p>
          <w:p>
            <w:pPr>
              <w:spacing w:after="60" w:before="0"/>
            </w:pPr>
            <w:r>
              <w:rPr>
                <w:rFonts w:ascii="Arial" w:cs="Arial" w:eastAsia="Arial" w:hAnsi="Arial"/>
                <w:b/>
                <w:bCs/>
                <w:color w:val="1B2A4A"/>
                <w:sz w:val="21"/>
                <w:szCs w:val="21"/>
              </w:rPr>
              <w:t xml:space="preserve">Phone:  </w:t>
            </w:r>
            <w:r>
              <w:rPr>
                <w:rFonts w:ascii="Arial" w:cs="Arial" w:eastAsia="Arial" w:hAnsi="Arial"/>
                <w:color w:val="1A1A1A"/>
                <w:sz w:val="21"/>
                <w:szCs w:val="21"/>
              </w:rPr>
              <w:t xml:space="preserve">406-529-5268</w:t>
            </w:r>
          </w:p>
          <w:p>
            <w:pPr>
              <w:spacing w:after="60" w:before="0"/>
            </w:pPr>
            <w:r>
              <w:rPr>
                <w:rFonts w:ascii="Arial" w:cs="Arial" w:eastAsia="Arial" w:hAnsi="Arial"/>
                <w:b/>
                <w:bCs/>
                <w:color w:val="1B2A4A"/>
                <w:sz w:val="21"/>
                <w:szCs w:val="21"/>
              </w:rPr>
              <w:t xml:space="preserve">Location:  </w:t>
            </w:r>
            <w:r>
              <w:rPr>
                <w:rFonts w:ascii="Arial" w:cs="Arial" w:eastAsia="Arial" w:hAnsi="Arial"/>
                <w:color w:val="1A1A1A"/>
                <w:sz w:val="21"/>
                <w:szCs w:val="21"/>
              </w:rPr>
              <w:t xml:space="preserve">Billings, Montana  (Travels Nationally)</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0"/>
            </w:tcMar>
          </w:tcPr>
          <w:p>
            <w:pPr>
              <w:spacing w:after="60" w:before="0"/>
            </w:pPr>
            <w:r>
              <w:rPr>
                <w:rFonts w:ascii="Arial" w:cs="Arial" w:eastAsia="Arial" w:hAnsi="Arial"/>
                <w:b/>
                <w:bCs/>
                <w:color w:val="1B2A4A"/>
                <w:sz w:val="21"/>
                <w:szCs w:val="21"/>
              </w:rPr>
              <w:t xml:space="preserve">LinkedIn:  </w:t>
            </w:r>
            <w:r>
              <w:rPr>
                <w:rFonts w:ascii="Arial" w:cs="Arial" w:eastAsia="Arial" w:hAnsi="Arial"/>
                <w:color w:val="1A1A1A"/>
                <w:sz w:val="21"/>
                <w:szCs w:val="21"/>
              </w:rPr>
              <w:t xml:space="preserve">linkedin.com/in/jacobrebo  [confirm URL]</w:t>
            </w:r>
          </w:p>
          <w:p>
            <w:pPr>
              <w:spacing w:after="60" w:before="0"/>
            </w:pPr>
            <w:r>
              <w:rPr>
                <w:rFonts w:ascii="Arial" w:cs="Arial" w:eastAsia="Arial" w:hAnsi="Arial"/>
                <w:b/>
                <w:bCs/>
                <w:color w:val="1B2A4A"/>
                <w:sz w:val="21"/>
                <w:szCs w:val="21"/>
              </w:rPr>
              <w:t xml:space="preserve">Web:  </w:t>
            </w:r>
            <w:r>
              <w:rPr>
                <w:rFonts w:ascii="Arial" w:cs="Arial" w:eastAsia="Arial" w:hAnsi="Arial"/>
                <w:color w:val="1A1A1A"/>
                <w:sz w:val="21"/>
                <w:szCs w:val="21"/>
              </w:rPr>
              <w:t xml:space="preserve">cullis.ai</w:t>
            </w:r>
          </w:p>
          <w:p>
            <w:pPr>
              <w:spacing w:after="60" w:before="0"/>
            </w:pPr>
            <w:r>
              <w:rPr>
                <w:rFonts w:ascii="Arial" w:cs="Arial" w:eastAsia="Arial" w:hAnsi="Arial"/>
                <w:b/>
                <w:bCs/>
                <w:color w:val="1B2A4A"/>
                <w:sz w:val="21"/>
                <w:szCs w:val="21"/>
              </w:rPr>
              <w:t xml:space="preserve">Bar:  </w:t>
            </w:r>
            <w:r>
              <w:rPr>
                <w:rFonts w:ascii="Arial" w:cs="Arial" w:eastAsia="Arial" w:hAnsi="Arial"/>
                <w:color w:val="1A1A1A"/>
                <w:sz w:val="21"/>
                <w:szCs w:val="21"/>
              </w:rPr>
              <w:t xml:space="preserve">State Bar of Montana</w:t>
            </w:r>
          </w:p>
        </w:tc>
      </w:tr>
    </w:tbl>
    <w:p>
      <w:pPr>
        <w:pBdr>
          <w:bottom w:val="single" w:color="B8922A" w:sz="10" w:space="2"/>
        </w:pBdr>
        <w:spacing w:after="80" w:before="320"/>
      </w:pPr>
      <w:r>
        <w:rPr>
          <w:rFonts w:ascii="Arial" w:cs="Arial" w:eastAsia="Arial" w:hAnsi="Arial"/>
          <w:b/>
          <w:bCs/>
          <w:color w:val="1B2A4A"/>
          <w:spacing w:val="30"/>
          <w:sz w:val="24"/>
          <w:szCs w:val="24"/>
        </w:rPr>
        <w:t xml:space="preserve">PROFESSIONAL PROFILE</w:t>
      </w:r>
    </w:p>
    <w:p>
      <w:pPr>
        <w:spacing w:after="80" w:before="0"/>
      </w:pPr>
      <w:r>
        <w:t xml:space="preserve"/>
      </w:r>
    </w:p>
    <w:p>
      <w:pPr>
        <w:spacing w:after="140" w:before="0"/>
        <w:jc w:val="left"/>
      </w:pPr>
      <w:r>
        <w:rPr>
          <w:rFonts w:ascii="Arial" w:cs="Arial" w:eastAsia="Arial" w:hAnsi="Arial"/>
          <w:b w:val="false"/>
          <w:bCs w:val="false"/>
          <w:i w:val="false"/>
          <w:iCs w:val="false"/>
          <w:color w:val="1A1A1A"/>
          <w:sz w:val="22"/>
          <w:szCs w:val="22"/>
        </w:rPr>
        <w:t xml:space="preserve">Jacob Rebo is an AI governance attorney, legal operations executive, and Six Sigma Master Black Belt who works at the intersection of artificial intelligence, intellectual property, and legal practice. Mr. Rebo serves as Founder and Chief Executive Officer of Cullis AI, LLC, a Montana-based professional services firm providing AI governance consulting, expert witness services, and accredited continuing legal education to law firms, corporations, and courts.</w:t>
      </w:r>
    </w:p>
    <w:p>
      <w:pPr>
        <w:spacing w:after="140" w:before="0"/>
        <w:jc w:val="left"/>
      </w:pPr>
      <w:r>
        <w:rPr>
          <w:rFonts w:ascii="Arial" w:cs="Arial" w:eastAsia="Arial" w:hAnsi="Arial"/>
          <w:b w:val="false"/>
          <w:bCs w:val="false"/>
          <w:i w:val="false"/>
          <w:iCs w:val="false"/>
          <w:color w:val="1A1A1A"/>
          <w:sz w:val="22"/>
          <w:szCs w:val="22"/>
        </w:rPr>
        <w:t xml:space="preserve">Mr. Rebo brings more than a decade of experience across law, technology, and highly regulated industries, and now leads enterprise AI governance at global scale. As the former lead AI legal representative for Nokia's Network Infrastructure Business Group and a senior contributor to Nokia's broader AI legal efforts, he led the enterprise AI governance program, evaluated and approved large language models for global deployment, and represented the Network Infrastructure Business Group in the Keystone Initiative, Nokia's standard operating procedure framework for AI use across multiple business groups worldwide.</w:t>
      </w:r>
    </w:p>
    <w:p>
      <w:pPr>
        <w:spacing w:after="140" w:before="0"/>
        <w:jc w:val="left"/>
      </w:pPr>
      <w:r>
        <w:rPr>
          <w:rFonts w:ascii="Arial" w:cs="Arial" w:eastAsia="Arial" w:hAnsi="Arial"/>
          <w:b w:val="false"/>
          <w:bCs w:val="false"/>
          <w:i w:val="false"/>
          <w:iCs w:val="false"/>
          <w:color w:val="1A1A1A"/>
          <w:sz w:val="22"/>
          <w:szCs w:val="22"/>
        </w:rPr>
        <w:t xml:space="preserve">His expert work addresses the technical, legal, and organizational dimensions of artificial intelligence adoption, including how AI systems are selected, validated, monitored, and documented within enterprise and legal contexts. He is a Certified AI Governance Professional (AIGP) with the International Association of Privacy Professionals (IAPP).</w:t>
      </w:r>
    </w:p>
    <w:p>
      <w:pPr>
        <w:spacing w:after="120" w:before="0"/>
        <w:jc w:val="left"/>
      </w:pPr>
      <w:r>
        <w:rPr>
          <w:rFonts w:ascii="Arial" w:cs="Arial" w:eastAsia="Arial" w:hAnsi="Arial"/>
          <w:b w:val="false"/>
          <w:bCs w:val="false"/>
          <w:i w:val="false"/>
          <w:iCs w:val="false"/>
          <w:color w:val="1A1A1A"/>
          <w:sz w:val="22"/>
          <w:szCs w:val="22"/>
        </w:rPr>
        <w:t xml:space="preserve">Mr. Rebo is a decorated United States Army veteran. He served 15 years on active duty, including two combat tours in Iraq (participating in over 500 combat missions and earning the Combat Action Badge) and one combat tour in Afghanistan in 2012 (earning the Bronze Star Medal and induction into the Honorable Order of Saint Christopher). He retired at the rank of Captain. He brings the analytical discipline, ethical grounding, and standards-based rigor of elite military service to every engagement.</w:t>
      </w:r>
    </w:p>
    <w:p>
      <w:pPr>
        <w:pBdr>
          <w:bottom w:val="single" w:color="B8922A" w:sz="10" w:space="2"/>
        </w:pBdr>
        <w:spacing w:after="80" w:before="320"/>
      </w:pPr>
      <w:r>
        <w:rPr>
          <w:rFonts w:ascii="Arial" w:cs="Arial" w:eastAsia="Arial" w:hAnsi="Arial"/>
          <w:b/>
          <w:bCs/>
          <w:color w:val="1B2A4A"/>
          <w:spacing w:val="30"/>
          <w:sz w:val="24"/>
          <w:szCs w:val="24"/>
        </w:rPr>
        <w:t xml:space="preserve">AREAS OF EXPERTISE</w:t>
      </w:r>
    </w:p>
    <w:p>
      <w:pPr>
        <w:spacing w:after="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180"/>
            </w:tcMar>
          </w:tcPr>
          <w:p>
            <w:pPr>
              <w:pStyle w:val="ListParagraph"/>
              <w:numPr>
                <w:ilvl w:val="0"/>
                <w:numId w:val="2"/>
              </w:numPr>
              <w:spacing w:after="80" w:before="0"/>
            </w:pPr>
            <w:r>
              <w:rPr>
                <w:rFonts w:ascii="Arial" w:cs="Arial" w:eastAsia="Arial" w:hAnsi="Arial"/>
                <w:color w:val="1A1A1A"/>
                <w:sz w:val="21"/>
                <w:szCs w:val="21"/>
              </w:rPr>
              <w:t xml:space="preserve">Enterprise AI Governance Frameworks and Programs</w:t>
            </w:r>
          </w:p>
          <w:p>
            <w:pPr>
              <w:pStyle w:val="ListParagraph"/>
              <w:numPr>
                <w:ilvl w:val="0"/>
                <w:numId w:val="2"/>
              </w:numPr>
              <w:spacing w:after="80" w:before="0"/>
            </w:pPr>
            <w:r>
              <w:rPr>
                <w:rFonts w:ascii="Arial" w:cs="Arial" w:eastAsia="Arial" w:hAnsi="Arial"/>
                <w:color w:val="1A1A1A"/>
                <w:sz w:val="21"/>
                <w:szCs w:val="21"/>
              </w:rPr>
              <w:t xml:space="preserve">AI Risk Assessment, Tiering, and Management</w:t>
            </w:r>
          </w:p>
          <w:p>
            <w:pPr>
              <w:pStyle w:val="ListParagraph"/>
              <w:numPr>
                <w:ilvl w:val="0"/>
                <w:numId w:val="2"/>
              </w:numPr>
              <w:spacing w:after="80" w:before="0"/>
            </w:pPr>
            <w:r>
              <w:rPr>
                <w:rFonts w:ascii="Arial" w:cs="Arial" w:eastAsia="Arial" w:hAnsi="Arial"/>
                <w:color w:val="1A1A1A"/>
                <w:sz w:val="21"/>
                <w:szCs w:val="21"/>
              </w:rPr>
              <w:t xml:space="preserve">Standards of Care for AI Adoption in Legal Practice</w:t>
            </w:r>
          </w:p>
          <w:p>
            <w:pPr>
              <w:pStyle w:val="ListParagraph"/>
              <w:numPr>
                <w:ilvl w:val="0"/>
                <w:numId w:val="2"/>
              </w:numPr>
              <w:spacing w:after="80" w:before="0"/>
            </w:pPr>
            <w:r>
              <w:rPr>
                <w:rFonts w:ascii="Arial" w:cs="Arial" w:eastAsia="Arial" w:hAnsi="Arial"/>
                <w:color w:val="1A1A1A"/>
                <w:sz w:val="21"/>
                <w:szCs w:val="21"/>
              </w:rPr>
              <w:t xml:space="preserve">Generative AI in eDiscovery and Document Review</w:t>
            </w:r>
          </w:p>
          <w:p>
            <w:pPr>
              <w:pStyle w:val="ListParagraph"/>
              <w:numPr>
                <w:ilvl w:val="0"/>
                <w:numId w:val="2"/>
              </w:numPr>
              <w:spacing w:after="80" w:before="0"/>
            </w:pPr>
            <w:r>
              <w:rPr>
                <w:rFonts w:ascii="Arial" w:cs="Arial" w:eastAsia="Arial" w:hAnsi="Arial"/>
                <w:color w:val="1A1A1A"/>
                <w:sz w:val="21"/>
                <w:szCs w:val="21"/>
              </w:rPr>
              <w:t xml:space="preserve">Large Language Model Evaluation, Validation, and Approval</w:t>
            </w:r>
          </w:p>
          <w:p>
            <w:pPr>
              <w:pStyle w:val="ListParagraph"/>
              <w:numPr>
                <w:ilvl w:val="0"/>
                <w:numId w:val="2"/>
              </w:numPr>
              <w:spacing w:after="80" w:before="0"/>
            </w:pPr>
            <w:r>
              <w:rPr>
                <w:rFonts w:ascii="Arial" w:cs="Arial" w:eastAsia="Arial" w:hAnsi="Arial"/>
                <w:color w:val="1A1A1A"/>
                <w:sz w:val="21"/>
                <w:szCs w:val="21"/>
              </w:rPr>
              <w:t xml:space="preserve">AI Ethics, Bias Evaluation, and Fairness Standards</w:t>
            </w:r>
          </w:p>
        </w:tc>
        <w:tc>
          <w:tcPr>
            <w:tcW w:type="dxa" w:w="4680"/>
            <w:tcBorders>
              <w:top w:val="none" w:color="FFFFFF" w:sz="0"/>
              <w:left w:val="none" w:color="FFFFFF" w:sz="0"/>
              <w:bottom w:val="none" w:color="FFFFFF" w:sz="0"/>
              <w:right w:val="none" w:color="FFFFFF" w:sz="0"/>
            </w:tcBorders>
            <w:tcMar>
              <w:top w:type="dxa" w:w="60"/>
              <w:left w:type="dxa" w:w="180"/>
              <w:bottom w:type="dxa" w:w="60"/>
              <w:right w:type="dxa" w:w="0"/>
            </w:tcMar>
          </w:tcPr>
          <w:p>
            <w:pPr>
              <w:pStyle w:val="ListParagraph"/>
              <w:numPr>
                <w:ilvl w:val="0"/>
                <w:numId w:val="2"/>
              </w:numPr>
              <w:spacing w:after="80" w:before="0"/>
            </w:pPr>
            <w:r>
              <w:rPr>
                <w:rFonts w:ascii="Arial" w:cs="Arial" w:eastAsia="Arial" w:hAnsi="Arial"/>
                <w:color w:val="1A1A1A"/>
                <w:sz w:val="21"/>
                <w:szCs w:val="21"/>
              </w:rPr>
              <w:t xml:space="preserve">AI Regulatory Compliance (EU AI Act, U.S. State Frameworks)</w:t>
            </w:r>
          </w:p>
          <w:p>
            <w:pPr>
              <w:pStyle w:val="ListParagraph"/>
              <w:numPr>
                <w:ilvl w:val="0"/>
                <w:numId w:val="2"/>
              </w:numPr>
              <w:spacing w:after="80" w:before="0"/>
            </w:pPr>
            <w:r>
              <w:rPr>
                <w:rFonts w:ascii="Arial" w:cs="Arial" w:eastAsia="Arial" w:hAnsi="Arial"/>
                <w:color w:val="1A1A1A"/>
                <w:sz w:val="21"/>
                <w:szCs w:val="21"/>
              </w:rPr>
              <w:t xml:space="preserve">AI Procurement, Vendor Governance, and Contracting</w:t>
            </w:r>
          </w:p>
          <w:p>
            <w:pPr>
              <w:pStyle w:val="ListParagraph"/>
              <w:numPr>
                <w:ilvl w:val="0"/>
                <w:numId w:val="2"/>
              </w:numPr>
              <w:spacing w:after="80" w:before="0"/>
            </w:pPr>
            <w:r>
              <w:rPr>
                <w:rFonts w:ascii="Arial" w:cs="Arial" w:eastAsia="Arial" w:hAnsi="Arial"/>
                <w:color w:val="1A1A1A"/>
                <w:sz w:val="21"/>
                <w:szCs w:val="21"/>
              </w:rPr>
              <w:t xml:space="preserve">Legal Technology Implementation and Standards</w:t>
            </w:r>
          </w:p>
          <w:p>
            <w:pPr>
              <w:pStyle w:val="ListParagraph"/>
              <w:numPr>
                <w:ilvl w:val="0"/>
                <w:numId w:val="2"/>
              </w:numPr>
              <w:spacing w:after="80" w:before="0"/>
            </w:pPr>
            <w:r>
              <w:rPr>
                <w:rFonts w:ascii="Arial" w:cs="Arial" w:eastAsia="Arial" w:hAnsi="Arial"/>
                <w:color w:val="1A1A1A"/>
                <w:sz w:val="21"/>
                <w:szCs w:val="21"/>
              </w:rPr>
              <w:t xml:space="preserve">Contract Lifecycle Management Systems (Ironclad and Peers)</w:t>
            </w:r>
          </w:p>
          <w:p>
            <w:pPr>
              <w:pStyle w:val="ListParagraph"/>
              <w:numPr>
                <w:ilvl w:val="0"/>
                <w:numId w:val="2"/>
              </w:numPr>
              <w:spacing w:after="80" w:before="0"/>
            </w:pPr>
            <w:r>
              <w:rPr>
                <w:rFonts w:ascii="Arial" w:cs="Arial" w:eastAsia="Arial" w:hAnsi="Arial"/>
                <w:color w:val="1A1A1A"/>
                <w:sz w:val="21"/>
                <w:szCs w:val="21"/>
              </w:rPr>
              <w:t xml:space="preserve">Legal Operations and Process Engineering</w:t>
            </w:r>
          </w:p>
          <w:p>
            <w:pPr>
              <w:pStyle w:val="ListParagraph"/>
              <w:numPr>
                <w:ilvl w:val="0"/>
                <w:numId w:val="2"/>
              </w:numPr>
              <w:spacing w:after="80" w:before="0"/>
            </w:pPr>
            <w:r>
              <w:rPr>
                <w:rFonts w:ascii="Arial" w:cs="Arial" w:eastAsia="Arial" w:hAnsi="Arial"/>
                <w:color w:val="1A1A1A"/>
                <w:sz w:val="21"/>
                <w:szCs w:val="21"/>
              </w:rPr>
              <w:t xml:space="preserve">AI Standard Operating Procedures and Documentation</w:t>
            </w:r>
          </w:p>
        </w:tc>
      </w:tr>
    </w:tbl>
    <w:p>
      <w:pPr>
        <w:pBdr>
          <w:bottom w:val="single" w:color="B8922A" w:sz="10" w:space="2"/>
        </w:pBdr>
        <w:spacing w:after="80" w:before="320"/>
      </w:pPr>
      <w:r>
        <w:rPr>
          <w:rFonts w:ascii="Arial" w:cs="Arial" w:eastAsia="Arial" w:hAnsi="Arial"/>
          <w:b/>
          <w:bCs/>
          <w:color w:val="1B2A4A"/>
          <w:spacing w:val="30"/>
          <w:sz w:val="24"/>
          <w:szCs w:val="24"/>
        </w:rPr>
        <w:t xml:space="preserve">CURRENT PROFESSIONAL ENGAGEMENT</w:t>
      </w:r>
    </w:p>
    <w:p>
      <w:pPr>
        <w:spacing w:after="80" w:before="0"/>
      </w:pPr>
      <w:r>
        <w:t xml:space="preserve"/>
      </w:r>
    </w:p>
    <w:p>
      <w:pPr>
        <w:tabs>
          <w:tab w:val="right" w:pos="9360"/>
        </w:tabs>
        <w:spacing w:after="30" w:before="200"/>
      </w:pPr>
      <w:r>
        <w:rPr>
          <w:rFonts w:ascii="Arial" w:cs="Arial" w:eastAsia="Arial" w:hAnsi="Arial"/>
          <w:b/>
          <w:bCs/>
          <w:color w:val="1B2A4A"/>
          <w:sz w:val="23"/>
          <w:szCs w:val="23"/>
        </w:rPr>
        <w:t xml:space="preserve">Founder and Chief Executive Officer</w:t>
      </w:r>
      <w:r>
        <w:rPr>
          <w:rFonts w:ascii="Arial" w:cs="Arial" w:eastAsia="Arial" w:hAnsi="Arial"/>
          <w:sz w:val="22"/>
          <w:szCs w:val="22"/>
        </w:rPr>
        <w:t xml:space="preserve">	</w:t>
      </w:r>
      <w:r>
        <w:rPr>
          <w:rFonts w:ascii="Arial" w:cs="Arial" w:eastAsia="Arial" w:hAnsi="Arial"/>
          <w:b/>
          <w:bCs/>
          <w:color w:val="444444"/>
          <w:sz w:val="21"/>
          <w:szCs w:val="21"/>
        </w:rPr>
        <w:t xml:space="preserve">2025 to Present</w:t>
      </w:r>
    </w:p>
    <w:p>
      <w:pPr>
        <w:spacing w:after="100" w:before="0"/>
      </w:pPr>
      <w:r>
        <w:rPr>
          <w:rFonts w:ascii="Arial" w:cs="Arial" w:eastAsia="Arial" w:hAnsi="Arial"/>
          <w:i/>
          <w:iCs/>
          <w:color w:val="B8922A"/>
          <w:sz w:val="22"/>
          <w:szCs w:val="22"/>
        </w:rPr>
        <w:t xml:space="preserve">Cullis AI, LLC  |  Billings, Montana</w:t>
      </w:r>
    </w:p>
    <w:p>
      <w:pPr>
        <w:pStyle w:val="ListParagraph"/>
        <w:numPr>
          <w:ilvl w:val="0"/>
          <w:numId w:val="2"/>
        </w:numPr>
        <w:spacing w:after="80" w:before="0"/>
      </w:pPr>
      <w:r>
        <w:rPr>
          <w:rFonts w:ascii="Arial" w:cs="Arial" w:eastAsia="Arial" w:hAnsi="Arial"/>
          <w:color w:val="1A1A1A"/>
          <w:sz w:val="21"/>
          <w:szCs w:val="21"/>
        </w:rPr>
        <w:t xml:space="preserve">Founded Cullis AI, LLC, a Montana-registered professional services firm delivering AI governance consulting, expert witness services, and accredited continuing legal education to law firms, in-house legal departments, and courts.</w:t>
      </w:r>
    </w:p>
    <w:p>
      <w:pPr>
        <w:pStyle w:val="ListParagraph"/>
        <w:numPr>
          <w:ilvl w:val="0"/>
          <w:numId w:val="2"/>
        </w:numPr>
        <w:spacing w:after="80" w:before="0"/>
      </w:pPr>
      <w:r>
        <w:rPr>
          <w:rFonts w:ascii="Arial" w:cs="Arial" w:eastAsia="Arial" w:hAnsi="Arial"/>
          <w:color w:val="1A1A1A"/>
          <w:sz w:val="21"/>
          <w:szCs w:val="21"/>
        </w:rPr>
        <w:t xml:space="preserve">Provides AI governance consulting across three engagement tiers: remote shadow audit, remote plus on-site assessment, and on-premises retrieval-augmented generation system implementation, supporting client legal operations from small firms through enterprise legal departments.</w:t>
      </w:r>
    </w:p>
    <w:p>
      <w:pPr>
        <w:pStyle w:val="ListParagraph"/>
        <w:numPr>
          <w:ilvl w:val="0"/>
          <w:numId w:val="2"/>
        </w:numPr>
        <w:spacing w:after="80" w:before="0"/>
      </w:pPr>
      <w:r>
        <w:rPr>
          <w:rFonts w:ascii="Arial" w:cs="Arial" w:eastAsia="Arial" w:hAnsi="Arial"/>
          <w:color w:val="1A1A1A"/>
          <w:sz w:val="21"/>
          <w:szCs w:val="21"/>
        </w:rPr>
        <w:t xml:space="preserve">Serves as expert witness on AI governance, AI risk management, standards of care for AI adoption, legal technology deployment, and enterprise AI program design.</w:t>
      </w:r>
    </w:p>
    <w:p>
      <w:pPr>
        <w:pStyle w:val="ListParagraph"/>
        <w:numPr>
          <w:ilvl w:val="0"/>
          <w:numId w:val="2"/>
        </w:numPr>
        <w:spacing w:after="80" w:before="0"/>
      </w:pPr>
      <w:r>
        <w:rPr>
          <w:rFonts w:ascii="Arial" w:cs="Arial" w:eastAsia="Arial" w:hAnsi="Arial"/>
          <w:color w:val="1A1A1A"/>
          <w:sz w:val="21"/>
          <w:szCs w:val="21"/>
        </w:rPr>
        <w:t xml:space="preserve">Designs and delivers accredited continuing legal education programming on generative AI in legal practice, AI ethics and competence obligations, AI in eDiscovery, and AI risk management for attorneys and judges.</w:t>
      </w:r>
    </w:p>
    <w:p>
      <w:pPr>
        <w:pBdr>
          <w:bottom w:val="single" w:color="B8922A" w:sz="10" w:space="2"/>
        </w:pBdr>
        <w:spacing w:after="80" w:before="320"/>
      </w:pPr>
      <w:r>
        <w:rPr>
          <w:rFonts w:ascii="Arial" w:cs="Arial" w:eastAsia="Arial" w:hAnsi="Arial"/>
          <w:b/>
          <w:bCs/>
          <w:color w:val="1B2A4A"/>
          <w:spacing w:val="30"/>
          <w:sz w:val="24"/>
          <w:szCs w:val="24"/>
        </w:rPr>
        <w:t xml:space="preserve">PRIOR PROFESSIONAL EXPERIENCE</w:t>
      </w:r>
    </w:p>
    <w:p>
      <w:pPr>
        <w:spacing w:after="80" w:before="0"/>
      </w:pPr>
      <w:r>
        <w:t xml:space="preserve"/>
      </w:r>
    </w:p>
    <w:p>
      <w:pPr>
        <w:tabs>
          <w:tab w:val="right" w:pos="9360"/>
        </w:tabs>
        <w:spacing w:after="30" w:before="200"/>
      </w:pPr>
      <w:r>
        <w:rPr>
          <w:rFonts w:ascii="Arial" w:cs="Arial" w:eastAsia="Arial" w:hAnsi="Arial"/>
          <w:b/>
          <w:bCs/>
          <w:color w:val="1B2A4A"/>
          <w:sz w:val="23"/>
          <w:szCs w:val="23"/>
        </w:rPr>
        <w:t xml:space="preserve">Director of Legal Operations and AI Governance</w:t>
      </w:r>
      <w:r>
        <w:rPr>
          <w:rFonts w:ascii="Arial" w:cs="Arial" w:eastAsia="Arial" w:hAnsi="Arial"/>
          <w:sz w:val="22"/>
          <w:szCs w:val="22"/>
        </w:rPr>
        <w:t xml:space="preserve">	</w:t>
      </w:r>
      <w:r>
        <w:rPr>
          <w:rFonts w:ascii="Arial" w:cs="Arial" w:eastAsia="Arial" w:hAnsi="Arial"/>
          <w:b/>
          <w:bCs/>
          <w:color w:val="444444"/>
          <w:sz w:val="21"/>
          <w:szCs w:val="21"/>
        </w:rPr>
        <w:t xml:space="preserve">2022 to 2026</w:t>
      </w:r>
    </w:p>
    <w:p>
      <w:pPr>
        <w:spacing w:after="100" w:before="0"/>
      </w:pPr>
      <w:r>
        <w:rPr>
          <w:rFonts w:ascii="Arial" w:cs="Arial" w:eastAsia="Arial" w:hAnsi="Arial"/>
          <w:i/>
          <w:iCs/>
          <w:color w:val="B8922A"/>
          <w:sz w:val="22"/>
          <w:szCs w:val="22"/>
        </w:rPr>
        <w:t xml:space="preserve">Nokia Corporation, Network Infrastructure Business Group  |  Billings, Montana (Remote)</w:t>
      </w:r>
    </w:p>
    <w:p>
      <w:pPr>
        <w:pStyle w:val="ListParagraph"/>
        <w:numPr>
          <w:ilvl w:val="0"/>
          <w:numId w:val="2"/>
        </w:numPr>
        <w:spacing w:after="80" w:before="0"/>
      </w:pPr>
      <w:r>
        <w:rPr>
          <w:rFonts w:ascii="Arial" w:cs="Arial" w:eastAsia="Arial" w:hAnsi="Arial"/>
          <w:color w:val="1A1A1A"/>
          <w:sz w:val="21"/>
          <w:szCs w:val="21"/>
        </w:rPr>
        <w:t xml:space="preserve">Served as lead AI legal representative for Nokia's Network Infrastructure Business Group and senior contributor to Nokia's broader AI legal program, working at the intersection of artificial intelligence, intellectual property, and legal practice.</w:t>
      </w:r>
    </w:p>
    <w:p>
      <w:pPr>
        <w:pStyle w:val="ListParagraph"/>
        <w:numPr>
          <w:ilvl w:val="0"/>
          <w:numId w:val="2"/>
        </w:numPr>
        <w:spacing w:after="80" w:before="0"/>
      </w:pPr>
      <w:r>
        <w:rPr>
          <w:rFonts w:ascii="Arial" w:cs="Arial" w:eastAsia="Arial" w:hAnsi="Arial"/>
          <w:color w:val="1A1A1A"/>
          <w:sz w:val="21"/>
          <w:szCs w:val="21"/>
        </w:rPr>
        <w:t xml:space="preserve">Represented the Network Infrastructure Business Group in the Keystone Initiative, Nokia's enterprise AI standard operating procedure framework, and designed DataQuestor 2.0, the unified AI use case intake and tracking system spanning multiple Nokia business groups globally.</w:t>
      </w:r>
    </w:p>
    <w:p>
      <w:pPr>
        <w:pStyle w:val="ListParagraph"/>
        <w:numPr>
          <w:ilvl w:val="0"/>
          <w:numId w:val="2"/>
        </w:numPr>
        <w:spacing w:after="80" w:before="0"/>
      </w:pPr>
      <w:r>
        <w:rPr>
          <w:rFonts w:ascii="Arial" w:cs="Arial" w:eastAsia="Arial" w:hAnsi="Arial"/>
          <w:color w:val="1A1A1A"/>
          <w:sz w:val="21"/>
          <w:szCs w:val="21"/>
        </w:rPr>
        <w:t xml:space="preserve">Authored and maintained enterprise AI governance policy suite, including AI Procurement Guidance v2.0 and the AI Addendum for Supplier Contracts.</w:t>
      </w:r>
    </w:p>
    <w:p>
      <w:pPr>
        <w:pStyle w:val="ListParagraph"/>
        <w:numPr>
          <w:ilvl w:val="0"/>
          <w:numId w:val="2"/>
        </w:numPr>
        <w:spacing w:after="80" w:before="0"/>
      </w:pPr>
      <w:r>
        <w:rPr>
          <w:rFonts w:ascii="Arial" w:cs="Arial" w:eastAsia="Arial" w:hAnsi="Arial"/>
          <w:color w:val="1A1A1A"/>
          <w:sz w:val="21"/>
          <w:szCs w:val="21"/>
        </w:rPr>
        <w:t xml:space="preserve">Reviewed and approved large language models for enterprise deployment; evaluated AI vendors and third-party AI tools against legal, technical, ethical, and compliance criteria.</w:t>
      </w:r>
    </w:p>
    <w:p>
      <w:pPr>
        <w:pStyle w:val="ListParagraph"/>
        <w:numPr>
          <w:ilvl w:val="0"/>
          <w:numId w:val="2"/>
        </w:numPr>
        <w:spacing w:after="80" w:before="0"/>
      </w:pPr>
      <w:r>
        <w:rPr>
          <w:rFonts w:ascii="Arial" w:cs="Arial" w:eastAsia="Arial" w:hAnsi="Arial"/>
          <w:color w:val="1A1A1A"/>
          <w:sz w:val="21"/>
          <w:szCs w:val="21"/>
        </w:rPr>
        <w:t xml:space="preserve">Translated emerging AI regulations and ethical principles into clear, practical guidance for engineers, product teams, and in-house counsel.</w:t>
      </w:r>
    </w:p>
    <w:p>
      <w:pPr>
        <w:pStyle w:val="ListParagraph"/>
        <w:numPr>
          <w:ilvl w:val="0"/>
          <w:numId w:val="2"/>
        </w:numPr>
        <w:spacing w:after="80" w:before="0"/>
      </w:pPr>
      <w:r>
        <w:rPr>
          <w:rFonts w:ascii="Arial" w:cs="Arial" w:eastAsia="Arial" w:hAnsi="Arial"/>
          <w:color w:val="1A1A1A"/>
          <w:sz w:val="21"/>
          <w:szCs w:val="21"/>
        </w:rPr>
        <w:t xml:space="preserve">Built cross-functional AI governance partnerships with Nokia's Chief Technology and AI Officer organization, Compliance, Trade Management, and Procurement.</w:t>
      </w:r>
    </w:p>
    <w:p>
      <w:pPr>
        <w:spacing w:after="160" w:before="0"/>
      </w:pPr>
      <w:r>
        <w:t xml:space="preserve"/>
      </w:r>
    </w:p>
    <w:p>
      <w:pPr>
        <w:tabs>
          <w:tab w:val="right" w:pos="9360"/>
        </w:tabs>
        <w:spacing w:after="30" w:before="200"/>
      </w:pPr>
      <w:r>
        <w:rPr>
          <w:rFonts w:ascii="Arial" w:cs="Arial" w:eastAsia="Arial" w:hAnsi="Arial"/>
          <w:b/>
          <w:bCs/>
          <w:color w:val="1B2A4A"/>
          <w:sz w:val="23"/>
          <w:szCs w:val="23"/>
        </w:rPr>
        <w:t xml:space="preserve">Legal Operations Manager</w:t>
      </w:r>
      <w:r>
        <w:rPr>
          <w:rFonts w:ascii="Arial" w:cs="Arial" w:eastAsia="Arial" w:hAnsi="Arial"/>
          <w:sz w:val="22"/>
          <w:szCs w:val="22"/>
        </w:rPr>
        <w:t xml:space="preserve">	</w:t>
      </w:r>
      <w:r>
        <w:rPr>
          <w:rFonts w:ascii="Arial" w:cs="Arial" w:eastAsia="Arial" w:hAnsi="Arial"/>
          <w:b/>
          <w:bCs/>
          <w:color w:val="444444"/>
          <w:sz w:val="21"/>
          <w:szCs w:val="21"/>
        </w:rPr>
        <w:t xml:space="preserve">2019 to 2022</w:t>
      </w:r>
    </w:p>
    <w:p>
      <w:pPr>
        <w:spacing w:after="100" w:before="0"/>
      </w:pPr>
      <w:r>
        <w:rPr>
          <w:rFonts w:ascii="Arial" w:cs="Arial" w:eastAsia="Arial" w:hAnsi="Arial"/>
          <w:i/>
          <w:iCs/>
          <w:color w:val="B8922A"/>
          <w:sz w:val="22"/>
          <w:szCs w:val="22"/>
        </w:rPr>
        <w:t xml:space="preserve">Infinera Corporation  |  San Jose, California (Remote)</w:t>
      </w:r>
    </w:p>
    <w:p>
      <w:pPr>
        <w:pStyle w:val="ListParagraph"/>
        <w:numPr>
          <w:ilvl w:val="0"/>
          <w:numId w:val="2"/>
        </w:numPr>
        <w:spacing w:after="80" w:before="0"/>
      </w:pPr>
      <w:r>
        <w:rPr>
          <w:rFonts w:ascii="Arial" w:cs="Arial" w:eastAsia="Arial" w:hAnsi="Arial"/>
          <w:color w:val="1A1A1A"/>
          <w:sz w:val="21"/>
          <w:szCs w:val="21"/>
        </w:rPr>
        <w:t xml:space="preserve">Designed, planned, and implemented Ironclad as the enterprise contract lifecycle management (CLM) solution across an 8,000 employee global company, consolidating enterprise contract operations and establishing standardized contract workflow governance.</w:t>
      </w:r>
    </w:p>
    <w:p>
      <w:pPr>
        <w:pStyle w:val="ListParagraph"/>
        <w:numPr>
          <w:ilvl w:val="0"/>
          <w:numId w:val="2"/>
        </w:numPr>
        <w:spacing w:after="80" w:before="0"/>
      </w:pPr>
      <w:r>
        <w:rPr>
          <w:rFonts w:ascii="Arial" w:cs="Arial" w:eastAsia="Arial" w:hAnsi="Arial"/>
          <w:color w:val="1A1A1A"/>
          <w:sz w:val="21"/>
          <w:szCs w:val="21"/>
        </w:rPr>
        <w:t xml:space="preserve">Led CHIPS Act funding compliance workstream, coordinating cross-functional documentation and regulatory positioning for U.S. semiconductor incentive eligibility.</w:t>
      </w:r>
    </w:p>
    <w:p>
      <w:pPr>
        <w:pStyle w:val="ListParagraph"/>
        <w:numPr>
          <w:ilvl w:val="0"/>
          <w:numId w:val="2"/>
        </w:numPr>
        <w:spacing w:after="80" w:before="0"/>
      </w:pPr>
      <w:r>
        <w:rPr>
          <w:rFonts w:ascii="Arial" w:cs="Arial" w:eastAsia="Arial" w:hAnsi="Arial"/>
          <w:color w:val="1A1A1A"/>
          <w:sz w:val="21"/>
          <w:szCs w:val="21"/>
        </w:rPr>
        <w:t xml:space="preserve">Developed Free and Open Source Software (FOSS) policy governing Infinera's use, distribution, and contribution practices for open-source code.</w:t>
      </w:r>
    </w:p>
    <w:p>
      <w:pPr>
        <w:pStyle w:val="ListParagraph"/>
        <w:numPr>
          <w:ilvl w:val="0"/>
          <w:numId w:val="2"/>
        </w:numPr>
        <w:spacing w:after="80" w:before="0"/>
      </w:pPr>
      <w:r>
        <w:rPr>
          <w:rFonts w:ascii="Arial" w:cs="Arial" w:eastAsia="Arial" w:hAnsi="Arial"/>
          <w:color w:val="1A1A1A"/>
          <w:sz w:val="21"/>
          <w:szCs w:val="21"/>
        </w:rPr>
        <w:t xml:space="preserve">Managed TradeFirst certification for Infinera's Singapore Global Distribution Center, ensuring compliance with Singapore Customs requirements.</w:t>
      </w:r>
    </w:p>
    <w:p>
      <w:pPr>
        <w:spacing w:after="160" w:before="0"/>
      </w:pPr>
      <w:r>
        <w:t xml:space="preserve"/>
      </w:r>
    </w:p>
    <w:p>
      <w:pPr>
        <w:tabs>
          <w:tab w:val="right" w:pos="9360"/>
        </w:tabs>
        <w:spacing w:after="30" w:before="200"/>
      </w:pPr>
      <w:r>
        <w:rPr>
          <w:rFonts w:ascii="Arial" w:cs="Arial" w:eastAsia="Arial" w:hAnsi="Arial"/>
          <w:b/>
          <w:bCs/>
          <w:color w:val="1B2A4A"/>
          <w:sz w:val="23"/>
          <w:szCs w:val="23"/>
        </w:rPr>
        <w:t xml:space="preserve">Litigation Associate</w:t>
      </w:r>
      <w:r>
        <w:rPr>
          <w:rFonts w:ascii="Arial" w:cs="Arial" w:eastAsia="Arial" w:hAnsi="Arial"/>
          <w:sz w:val="22"/>
          <w:szCs w:val="22"/>
        </w:rPr>
        <w:t xml:space="preserve">	</w:t>
      </w:r>
      <w:r>
        <w:rPr>
          <w:rFonts w:ascii="Arial" w:cs="Arial" w:eastAsia="Arial" w:hAnsi="Arial"/>
          <w:b/>
          <w:bCs/>
          <w:color w:val="444444"/>
          <w:sz w:val="21"/>
          <w:szCs w:val="21"/>
        </w:rPr>
        <w:t xml:space="preserve">2016 to 2019</w:t>
      </w:r>
    </w:p>
    <w:p>
      <w:pPr>
        <w:spacing w:after="100" w:before="0"/>
      </w:pPr>
      <w:r>
        <w:rPr>
          <w:rFonts w:ascii="Arial" w:cs="Arial" w:eastAsia="Arial" w:hAnsi="Arial"/>
          <w:i/>
          <w:iCs/>
          <w:color w:val="B8922A"/>
          <w:sz w:val="22"/>
          <w:szCs w:val="22"/>
        </w:rPr>
        <w:t xml:space="preserve">Crowley Fleck PLLP  |  Billings, Montana</w:t>
      </w:r>
    </w:p>
    <w:p>
      <w:pPr>
        <w:pStyle w:val="ListParagraph"/>
        <w:numPr>
          <w:ilvl w:val="0"/>
          <w:numId w:val="2"/>
        </w:numPr>
        <w:spacing w:after="80" w:before="0"/>
      </w:pPr>
      <w:r>
        <w:rPr>
          <w:rFonts w:ascii="Arial" w:cs="Arial" w:eastAsia="Arial" w:hAnsi="Arial"/>
          <w:color w:val="1A1A1A"/>
          <w:sz w:val="21"/>
          <w:szCs w:val="21"/>
        </w:rPr>
        <w:t xml:space="preserve">Litigated complex civil matters in Montana state and federal courts, including discovery practice, depositions, motions practice, and trial preparation.</w:t>
      </w:r>
    </w:p>
    <w:p>
      <w:pPr>
        <w:pStyle w:val="ListParagraph"/>
        <w:numPr>
          <w:ilvl w:val="0"/>
          <w:numId w:val="2"/>
        </w:numPr>
        <w:spacing w:after="80" w:before="0"/>
      </w:pPr>
      <w:r>
        <w:rPr>
          <w:rFonts w:ascii="Arial" w:cs="Arial" w:eastAsia="Arial" w:hAnsi="Arial"/>
          <w:color w:val="1A1A1A"/>
          <w:sz w:val="21"/>
          <w:szCs w:val="21"/>
        </w:rPr>
        <w:t xml:space="preserve">Developed working understanding of discovery obligations, evidence authentication, expert witness practice, and legal technology tools applicable to document review and case management.</w:t>
      </w:r>
    </w:p>
    <w:p>
      <w:pPr>
        <w:spacing w:after="160" w:before="0"/>
      </w:pPr>
      <w:r>
        <w:t xml:space="preserve"/>
      </w:r>
    </w:p>
    <w:p>
      <w:pPr>
        <w:tabs>
          <w:tab w:val="right" w:pos="9360"/>
        </w:tabs>
        <w:spacing w:after="30" w:before="200"/>
      </w:pPr>
      <w:r>
        <w:rPr>
          <w:rFonts w:ascii="Arial" w:cs="Arial" w:eastAsia="Arial" w:hAnsi="Arial"/>
          <w:b/>
          <w:bCs/>
          <w:color w:val="1B2A4A"/>
          <w:sz w:val="23"/>
          <w:szCs w:val="23"/>
        </w:rPr>
        <w:t xml:space="preserve">Cardiac Rhythm Management Sales Representative</w:t>
      </w:r>
      <w:r>
        <w:rPr>
          <w:rFonts w:ascii="Arial" w:cs="Arial" w:eastAsia="Arial" w:hAnsi="Arial"/>
          <w:sz w:val="22"/>
          <w:szCs w:val="22"/>
        </w:rPr>
        <w:t xml:space="preserve">	</w:t>
      </w:r>
      <w:r>
        <w:rPr>
          <w:rFonts w:ascii="Arial" w:cs="Arial" w:eastAsia="Arial" w:hAnsi="Arial"/>
          <w:b/>
          <w:bCs/>
          <w:color w:val="444444"/>
          <w:sz w:val="21"/>
          <w:szCs w:val="21"/>
        </w:rPr>
        <w:t xml:space="preserve">2014 to 2016</w:t>
      </w:r>
    </w:p>
    <w:p>
      <w:pPr>
        <w:spacing w:after="100" w:before="0"/>
      </w:pPr>
      <w:r>
        <w:rPr>
          <w:rFonts w:ascii="Arial" w:cs="Arial" w:eastAsia="Arial" w:hAnsi="Arial"/>
          <w:i/>
          <w:iCs/>
          <w:color w:val="B8922A"/>
          <w:sz w:val="22"/>
          <w:szCs w:val="22"/>
        </w:rPr>
        <w:t xml:space="preserve">Boston Scientific Corporation  |  Billings, Montana</w:t>
      </w:r>
    </w:p>
    <w:p>
      <w:pPr>
        <w:pStyle w:val="ListParagraph"/>
        <w:numPr>
          <w:ilvl w:val="0"/>
          <w:numId w:val="2"/>
        </w:numPr>
        <w:spacing w:after="80" w:before="0"/>
      </w:pPr>
      <w:r>
        <w:rPr>
          <w:rFonts w:ascii="Arial" w:cs="Arial" w:eastAsia="Arial" w:hAnsi="Arial"/>
          <w:color w:val="1A1A1A"/>
          <w:sz w:val="21"/>
          <w:szCs w:val="21"/>
        </w:rPr>
        <w:t xml:space="preserve">Sold and supported Class III implantable cardiac devices in a highly-regulated FDA compliance environment, including pacemakers, implantable cardioverter-defibrillators, and related accessories.</w:t>
      </w:r>
    </w:p>
    <w:p>
      <w:pPr>
        <w:pStyle w:val="ListParagraph"/>
        <w:numPr>
          <w:ilvl w:val="0"/>
          <w:numId w:val="2"/>
        </w:numPr>
        <w:spacing w:after="80" w:before="0"/>
      </w:pPr>
      <w:r>
        <w:rPr>
          <w:rFonts w:ascii="Arial" w:cs="Arial" w:eastAsia="Arial" w:hAnsi="Arial"/>
          <w:color w:val="1A1A1A"/>
          <w:sz w:val="21"/>
          <w:szCs w:val="21"/>
        </w:rPr>
        <w:t xml:space="preserve">Provided in-procedure technical support to cardiologists and electrophysiologists during device implantation and follow-up.</w:t>
      </w:r>
    </w:p>
    <w:p>
      <w:pPr>
        <w:pBdr>
          <w:bottom w:val="single" w:color="B8922A" w:sz="10" w:space="2"/>
        </w:pBdr>
        <w:spacing w:after="80" w:before="320"/>
      </w:pPr>
      <w:r>
        <w:rPr>
          <w:rFonts w:ascii="Arial" w:cs="Arial" w:eastAsia="Arial" w:hAnsi="Arial"/>
          <w:b/>
          <w:bCs/>
          <w:color w:val="1B2A4A"/>
          <w:spacing w:val="30"/>
          <w:sz w:val="24"/>
          <w:szCs w:val="24"/>
        </w:rPr>
        <w:t xml:space="preserve">EDUCATION</w:t>
      </w:r>
    </w:p>
    <w:p>
      <w:pPr>
        <w:spacing w:after="80" w:before="0"/>
      </w:pPr>
      <w:r>
        <w:t xml:space="preserve"/>
      </w:r>
    </w:p>
    <w:p>
      <w:pPr>
        <w:tabs>
          <w:tab w:val="right" w:pos="9360"/>
        </w:tabs>
        <w:spacing w:after="30" w:before="120"/>
      </w:pPr>
      <w:r>
        <w:rPr>
          <w:rFonts w:ascii="Arial" w:cs="Arial" w:eastAsia="Arial" w:hAnsi="Arial"/>
          <w:b/>
          <w:bCs/>
          <w:color w:val="1B2A4A"/>
          <w:sz w:val="23"/>
          <w:szCs w:val="23"/>
        </w:rPr>
        <w:t xml:space="preserve">Juris Doctor / Master of Business Administration  (JD / MBA)</w:t>
      </w:r>
      <w:r>
        <w:rPr>
          <w:sz w:val="22"/>
          <w:szCs w:val="22"/>
        </w:rPr>
        <w:t xml:space="preserve">	</w:t>
      </w:r>
      <w:r>
        <w:rPr>
          <w:rFonts w:ascii="Arial" w:cs="Arial" w:eastAsia="Arial" w:hAnsi="Arial"/>
          <w:b/>
          <w:bCs/>
          <w:color w:val="444444"/>
          <w:sz w:val="21"/>
          <w:szCs w:val="21"/>
        </w:rPr>
        <w:t xml:space="preserve">2014</w:t>
      </w:r>
    </w:p>
    <w:p>
      <w:pPr>
        <w:spacing w:after="40" w:before="0"/>
      </w:pPr>
      <w:r>
        <w:rPr>
          <w:rFonts w:ascii="Arial" w:cs="Arial" w:eastAsia="Arial" w:hAnsi="Arial"/>
          <w:i/>
          <w:iCs/>
          <w:color w:val="B8922A"/>
          <w:sz w:val="22"/>
          <w:szCs w:val="22"/>
        </w:rPr>
        <w:t xml:space="preserve">Alexander Blewett III School of Law and College of Business, University of Montana</w:t>
      </w:r>
    </w:p>
    <w:p>
      <w:pPr>
        <w:spacing w:after="160" w:before="0"/>
        <w:jc w:val="left"/>
      </w:pPr>
      <w:r>
        <w:rPr>
          <w:rFonts w:ascii="Arial" w:cs="Arial" w:eastAsia="Arial" w:hAnsi="Arial"/>
          <w:b w:val="false"/>
          <w:bCs w:val="false"/>
          <w:i w:val="false"/>
          <w:iCs w:val="false"/>
          <w:color w:val="444444"/>
          <w:sz w:val="22"/>
          <w:szCs w:val="22"/>
        </w:rPr>
        <w:t xml:space="preserve">Missoula, Montana</w:t>
      </w:r>
    </w:p>
    <w:p>
      <w:pPr>
        <w:tabs>
          <w:tab w:val="right" w:pos="9360"/>
        </w:tabs>
        <w:spacing w:after="30" w:before="100"/>
      </w:pPr>
      <w:r>
        <w:rPr>
          <w:rFonts w:ascii="Arial" w:cs="Arial" w:eastAsia="Arial" w:hAnsi="Arial"/>
          <w:b/>
          <w:bCs/>
          <w:color w:val="1B2A4A"/>
          <w:sz w:val="23"/>
          <w:szCs w:val="23"/>
        </w:rPr>
        <w:t xml:space="preserve">Certified Six Sigma Master Black Belt  (CSSMBB)</w:t>
      </w:r>
      <w:r>
        <w:rPr>
          <w:sz w:val="22"/>
          <w:szCs w:val="22"/>
        </w:rPr>
        <w:t xml:space="preserve">	</w:t>
      </w:r>
      <w:r>
        <w:rPr>
          <w:rFonts w:ascii="Arial" w:cs="Arial" w:eastAsia="Arial" w:hAnsi="Arial"/>
          <w:b/>
          <w:bCs/>
          <w:color w:val="444444"/>
          <w:sz w:val="21"/>
          <w:szCs w:val="21"/>
        </w:rPr>
        <w:t xml:space="preserve">Cert. No. VIL012091</w:t>
      </w:r>
    </w:p>
    <w:p>
      <w:pPr>
        <w:spacing w:after="40" w:before="0"/>
      </w:pPr>
      <w:r>
        <w:rPr>
          <w:rFonts w:ascii="Arial" w:cs="Arial" w:eastAsia="Arial" w:hAnsi="Arial"/>
          <w:i/>
          <w:iCs/>
          <w:color w:val="B8922A"/>
          <w:sz w:val="22"/>
          <w:szCs w:val="22"/>
        </w:rPr>
        <w:t xml:space="preserve">Villanova University</w:t>
      </w:r>
    </w:p>
    <w:p>
      <w:pPr>
        <w:spacing w:after="80" w:before="0"/>
        <w:jc w:val="left"/>
      </w:pPr>
      <w:r>
        <w:rPr>
          <w:rFonts w:ascii="Arial" w:cs="Arial" w:eastAsia="Arial" w:hAnsi="Arial"/>
          <w:b w:val="false"/>
          <w:bCs w:val="false"/>
          <w:i w:val="false"/>
          <w:iCs w:val="false"/>
          <w:color w:val="444444"/>
          <w:sz w:val="22"/>
          <w:szCs w:val="22"/>
        </w:rPr>
        <w:t xml:space="preserve">Villanova, Pennsylvania</w:t>
      </w:r>
    </w:p>
    <w:p>
      <w:pPr>
        <w:pBdr>
          <w:bottom w:val="single" w:color="B8922A" w:sz="10" w:space="2"/>
        </w:pBdr>
        <w:spacing w:after="80" w:before="320"/>
      </w:pPr>
      <w:r>
        <w:rPr>
          <w:rFonts w:ascii="Arial" w:cs="Arial" w:eastAsia="Arial" w:hAnsi="Arial"/>
          <w:b/>
          <w:bCs/>
          <w:color w:val="1B2A4A"/>
          <w:spacing w:val="30"/>
          <w:sz w:val="24"/>
          <w:szCs w:val="24"/>
        </w:rPr>
        <w:t xml:space="preserve">PROFESSIONAL CERTIFICATIONS</w:t>
      </w:r>
    </w:p>
    <w:p>
      <w:pPr>
        <w:spacing w:after="80" w:before="0"/>
      </w:pPr>
      <w:r>
        <w:t xml:space="preserve"/>
      </w:r>
    </w:p>
    <w:p>
      <w:pPr>
        <w:tabs>
          <w:tab w:val="right" w:pos="9360"/>
        </w:tabs>
        <w:spacing w:after="30" w:before="120"/>
      </w:pPr>
      <w:r>
        <w:rPr>
          <w:rFonts w:ascii="Arial" w:cs="Arial" w:eastAsia="Arial" w:hAnsi="Arial"/>
          <w:b/>
          <w:bCs/>
          <w:color w:val="1B2A4A"/>
          <w:sz w:val="23"/>
          <w:szCs w:val="23"/>
        </w:rPr>
        <w:t xml:space="preserve">Artificial Intelligence Governance Professional  (AIGP)</w:t>
      </w:r>
      <w:r>
        <w:rPr>
          <w:sz w:val="22"/>
          <w:szCs w:val="22"/>
        </w:rPr>
        <w:t xml:space="preserve">	</w:t>
      </w:r>
      <w:r>
        <w:rPr>
          <w:rFonts w:ascii="Arial" w:cs="Arial" w:eastAsia="Arial" w:hAnsi="Arial"/>
          <w:b/>
          <w:bCs/>
          <w:color w:val="444444"/>
          <w:sz w:val="21"/>
          <w:szCs w:val="21"/>
        </w:rPr>
        <w:t xml:space="preserve">Cert. No. 000910401I</w:t>
      </w:r>
    </w:p>
    <w:p>
      <w:pPr>
        <w:spacing w:after="100" w:before="0"/>
      </w:pPr>
      <w:r>
        <w:rPr>
          <w:rFonts w:ascii="Arial" w:cs="Arial" w:eastAsia="Arial" w:hAnsi="Arial"/>
          <w:i/>
          <w:iCs/>
          <w:color w:val="B8922A"/>
          <w:sz w:val="22"/>
          <w:szCs w:val="22"/>
        </w:rPr>
        <w:t xml:space="preserve">International Association of Privacy Professionals (IAPP)  |  Effective May 28, 2026; valid through May 31, 2028</w:t>
      </w:r>
    </w:p>
    <w:p>
      <w:pPr>
        <w:tabs>
          <w:tab w:val="right" w:pos="9360"/>
        </w:tabs>
        <w:spacing w:after="30" w:before="120"/>
      </w:pPr>
      <w:r>
        <w:rPr>
          <w:rFonts w:ascii="Arial" w:cs="Arial" w:eastAsia="Arial" w:hAnsi="Arial"/>
          <w:b/>
          <w:bCs/>
          <w:color w:val="1B2A4A"/>
          <w:sz w:val="23"/>
          <w:szCs w:val="23"/>
        </w:rPr>
        <w:t xml:space="preserve">Certified Six Sigma Master Black Belt  (CSSMBB)</w:t>
      </w:r>
      <w:r>
        <w:rPr>
          <w:sz w:val="22"/>
          <w:szCs w:val="22"/>
        </w:rPr>
        <w:t xml:space="preserve">	</w:t>
      </w:r>
      <w:r>
        <w:rPr>
          <w:rFonts w:ascii="Arial" w:cs="Arial" w:eastAsia="Arial" w:hAnsi="Arial"/>
          <w:b/>
          <w:bCs/>
          <w:color w:val="444444"/>
          <w:sz w:val="21"/>
          <w:szCs w:val="21"/>
        </w:rPr>
        <w:t xml:space="preserve">Cert. No. VIL012091</w:t>
      </w:r>
    </w:p>
    <w:p>
      <w:pPr>
        <w:spacing w:after="80" w:before="0"/>
      </w:pPr>
      <w:r>
        <w:rPr>
          <w:rFonts w:ascii="Arial" w:cs="Arial" w:eastAsia="Arial" w:hAnsi="Arial"/>
          <w:i/>
          <w:iCs/>
          <w:color w:val="B8922A"/>
          <w:sz w:val="22"/>
          <w:szCs w:val="22"/>
        </w:rPr>
        <w:t xml:space="preserve">Villanova University</w:t>
      </w:r>
    </w:p>
    <w:p>
      <w:pPr>
        <w:pBdr>
          <w:bottom w:val="single" w:color="B8922A" w:sz="10" w:space="2"/>
        </w:pBdr>
        <w:spacing w:after="80" w:before="320"/>
      </w:pPr>
      <w:r>
        <w:rPr>
          <w:rFonts w:ascii="Arial" w:cs="Arial" w:eastAsia="Arial" w:hAnsi="Arial"/>
          <w:b/>
          <w:bCs/>
          <w:color w:val="1B2A4A"/>
          <w:spacing w:val="30"/>
          <w:sz w:val="24"/>
          <w:szCs w:val="24"/>
        </w:rPr>
        <w:t xml:space="preserve">SPEAKING ENGAGEMENTS AND PRESENTATIONS</w:t>
      </w:r>
    </w:p>
    <w:p>
      <w:pPr>
        <w:spacing w:after="80" w:before="0"/>
      </w:pPr>
      <w:r>
        <w:t xml:space="preserve"/>
      </w:r>
    </w:p>
    <w:p>
      <w:pPr>
        <w:tabs>
          <w:tab w:val="right" w:pos="9360"/>
        </w:tabs>
        <w:spacing w:after="30" w:before="120"/>
      </w:pPr>
      <w:r>
        <w:rPr>
          <w:rFonts w:ascii="Arial" w:cs="Arial" w:eastAsia="Arial" w:hAnsi="Arial"/>
          <w:b/>
          <w:bCs/>
          <w:color w:val="1B2A4A"/>
          <w:sz w:val="22"/>
          <w:szCs w:val="22"/>
        </w:rPr>
        <w:t xml:space="preserve">Panelist  |  Artificial Intelligence and Legal Practice</w:t>
      </w:r>
      <w:r>
        <w:rPr>
          <w:sz w:val="22"/>
          <w:szCs w:val="22"/>
        </w:rPr>
        <w:t xml:space="preserve">	</w:t>
      </w:r>
      <w:r>
        <w:rPr>
          <w:rFonts w:ascii="Arial" w:cs="Arial" w:eastAsia="Arial" w:hAnsi="Arial"/>
          <w:b/>
          <w:bCs/>
          <w:color w:val="444444"/>
          <w:sz w:val="21"/>
          <w:szCs w:val="21"/>
        </w:rPr>
        <w:t xml:space="preserve">March 2025</w:t>
      </w:r>
    </w:p>
    <w:p>
      <w:pPr>
        <w:spacing w:after="40" w:before="0"/>
      </w:pPr>
      <w:r>
        <w:rPr>
          <w:rFonts w:ascii="Arial" w:cs="Arial" w:eastAsia="Arial" w:hAnsi="Arial"/>
          <w:i/>
          <w:iCs/>
          <w:color w:val="B8922A"/>
          <w:sz w:val="21"/>
          <w:szCs w:val="21"/>
        </w:rPr>
        <w:t xml:space="preserve">University of Montana IP Day 2025  |  Alexander Blewett III School of Law, Missoula, MT</w:t>
      </w:r>
    </w:p>
    <w:p>
      <w:pPr>
        <w:spacing w:after="140" w:before="0"/>
        <w:jc w:val="left"/>
      </w:pPr>
      <w:r>
        <w:rPr>
          <w:rFonts w:ascii="Arial" w:cs="Arial" w:eastAsia="Arial" w:hAnsi="Arial"/>
          <w:b w:val="false"/>
          <w:bCs w:val="false"/>
          <w:i w:val="false"/>
          <w:iCs w:val="false"/>
          <w:color w:val="1A1A1A"/>
          <w:sz w:val="22"/>
          <w:szCs w:val="22"/>
        </w:rPr>
        <w:t xml:space="preserve">Presented and participated as panelist on artificial intelligence ethics, legal competence obligations under the Model Rules of Professional Conduct, and practical AI governance for legal practice. Audience included law faculty, practicing attorneys, judges, and law students.</w:t>
      </w:r>
    </w:p>
    <w:p>
      <w:pPr>
        <w:tabs>
          <w:tab w:val="right" w:pos="9360"/>
        </w:tabs>
        <w:spacing w:after="30" w:before="120"/>
      </w:pPr>
      <w:r>
        <w:rPr>
          <w:rFonts w:ascii="Arial" w:cs="Arial" w:eastAsia="Arial" w:hAnsi="Arial"/>
          <w:b/>
          <w:bCs/>
          <w:color w:val="1B2A4A"/>
          <w:sz w:val="22"/>
          <w:szCs w:val="22"/>
        </w:rPr>
        <w:t xml:space="preserve">Panelist  |  AI in Legal Operations</w:t>
      </w:r>
      <w:r>
        <w:rPr>
          <w:sz w:val="22"/>
          <w:szCs w:val="22"/>
        </w:rPr>
        <w:t xml:space="preserve">	</w:t>
      </w:r>
      <w:r>
        <w:rPr>
          <w:rFonts w:ascii="Arial" w:cs="Arial" w:eastAsia="Arial" w:hAnsi="Arial"/>
          <w:b/>
          <w:bCs/>
          <w:color w:val="444444"/>
          <w:sz w:val="21"/>
          <w:szCs w:val="21"/>
        </w:rPr>
        <w:t xml:space="preserve">October 2025</w:t>
      </w:r>
    </w:p>
    <w:p>
      <w:pPr>
        <w:spacing w:after="40" w:before="0"/>
      </w:pPr>
      <w:r>
        <w:rPr>
          <w:rFonts w:ascii="Arial" w:cs="Arial" w:eastAsia="Arial" w:hAnsi="Arial"/>
          <w:i/>
          <w:iCs/>
          <w:color w:val="B8922A"/>
          <w:sz w:val="21"/>
          <w:szCs w:val="21"/>
        </w:rPr>
        <w:t xml:space="preserve">Consero Corporate Legal Operations Forum  |  The Ritz-Carlton Dallas, Las Colinas, Irving, TX</w:t>
      </w:r>
    </w:p>
    <w:p>
      <w:pPr>
        <w:spacing w:after="140" w:before="0"/>
        <w:jc w:val="left"/>
      </w:pPr>
      <w:r>
        <w:rPr>
          <w:rFonts w:ascii="Arial" w:cs="Arial" w:eastAsia="Arial" w:hAnsi="Arial"/>
          <w:b w:val="false"/>
          <w:bCs w:val="false"/>
          <w:i w:val="false"/>
          <w:iCs w:val="false"/>
          <w:color w:val="1A1A1A"/>
          <w:sz w:val="22"/>
          <w:szCs w:val="22"/>
        </w:rPr>
        <w:t xml:space="preserve">Served as panelist at Consero's invitation-only national legal operations forum, presenting to senior in-house legal operations leaders, general counsel, and chief legal officers on artificial intelligence adoption, AI governance, and enterprise AI deployment in corporate legal functions.</w:t>
      </w:r>
    </w:p>
    <w:p>
      <w:pPr>
        <w:tabs>
          <w:tab w:val="right" w:pos="9360"/>
        </w:tabs>
        <w:spacing w:after="30" w:before="120"/>
      </w:pPr>
      <w:r>
        <w:rPr>
          <w:rFonts w:ascii="Arial" w:cs="Arial" w:eastAsia="Arial" w:hAnsi="Arial"/>
          <w:b/>
          <w:bCs/>
          <w:color w:val="1B2A4A"/>
          <w:sz w:val="22"/>
          <w:szCs w:val="22"/>
        </w:rPr>
        <w:t xml:space="preserve">Panelist  |  AI Ethics and Legal Competence</w:t>
      </w:r>
      <w:r>
        <w:rPr>
          <w:sz w:val="22"/>
          <w:szCs w:val="22"/>
        </w:rPr>
        <w:t xml:space="preserve">	</w:t>
      </w:r>
      <w:r>
        <w:rPr>
          <w:rFonts w:ascii="Arial" w:cs="Arial" w:eastAsia="Arial" w:hAnsi="Arial"/>
          <w:b/>
          <w:bCs/>
          <w:color w:val="444444"/>
          <w:sz w:val="21"/>
          <w:szCs w:val="21"/>
        </w:rPr>
        <w:t xml:space="preserve">March 2024</w:t>
      </w:r>
    </w:p>
    <w:p>
      <w:pPr>
        <w:spacing w:after="40" w:before="0"/>
      </w:pPr>
      <w:r>
        <w:rPr>
          <w:rFonts w:ascii="Arial" w:cs="Arial" w:eastAsia="Arial" w:hAnsi="Arial"/>
          <w:i/>
          <w:iCs/>
          <w:color w:val="B8922A"/>
          <w:sz w:val="21"/>
          <w:szCs w:val="21"/>
        </w:rPr>
        <w:t xml:space="preserve">University of Montana IP Day 2024  |  Alexander Blewett III School of Law, Missoula, MT</w:t>
      </w:r>
    </w:p>
    <w:p>
      <w:pPr>
        <w:spacing w:after="80" w:before="0"/>
        <w:jc w:val="left"/>
      </w:pPr>
      <w:r>
        <w:rPr>
          <w:rFonts w:ascii="Arial" w:cs="Arial" w:eastAsia="Arial" w:hAnsi="Arial"/>
          <w:b w:val="false"/>
          <w:bCs w:val="false"/>
          <w:i w:val="false"/>
          <w:iCs w:val="false"/>
          <w:color w:val="1A1A1A"/>
          <w:sz w:val="22"/>
          <w:szCs w:val="22"/>
        </w:rPr>
        <w:t xml:space="preserve">Panelist presentation on artificial intelligence ethics for legal practitioners, addressing the duty of competence regarding AI tools, confidentiality risks in generative AI use, and emerging professional responsibility standards.</w:t>
      </w:r>
    </w:p>
    <w:p>
      <w:pPr>
        <w:pBdr>
          <w:bottom w:val="single" w:color="B8922A" w:sz="10" w:space="2"/>
        </w:pBdr>
        <w:spacing w:after="80" w:before="320"/>
      </w:pPr>
      <w:r>
        <w:rPr>
          <w:rFonts w:ascii="Arial" w:cs="Arial" w:eastAsia="Arial" w:hAnsi="Arial"/>
          <w:b/>
          <w:bCs/>
          <w:color w:val="1B2A4A"/>
          <w:spacing w:val="30"/>
          <w:sz w:val="24"/>
          <w:szCs w:val="24"/>
        </w:rPr>
        <w:t xml:space="preserve">PRIOR TESTIMONY</w:t>
      </w:r>
    </w:p>
    <w:p>
      <w:pPr>
        <w:spacing w:after="80" w:before="0"/>
      </w:pPr>
      <w:r>
        <w:t xml:space="preserve"/>
      </w:r>
    </w:p>
    <w:p>
      <w:pPr>
        <w:spacing w:after="80" w:before="0"/>
        <w:jc w:val="left"/>
      </w:pPr>
      <w:r>
        <w:rPr>
          <w:rFonts w:ascii="Arial" w:cs="Arial" w:eastAsia="Arial" w:hAnsi="Arial"/>
          <w:b w:val="false"/>
          <w:bCs w:val="false"/>
          <w:i w:val="false"/>
          <w:iCs w:val="false"/>
          <w:color w:val="1A1A1A"/>
          <w:sz w:val="22"/>
          <w:szCs w:val="22"/>
        </w:rPr>
        <w:t xml:space="preserve">Mr. Rebo has not yet provided expert witness testimony or deposition testimony. He is actively establishing his expert witness practice through Cullis AI, LLC. This CV will be updated as engagements proceed through report, deposition, and trial phases.</w:t>
      </w:r>
    </w:p>
    <w:p>
      <w:pPr>
        <w:pBdr>
          <w:bottom w:val="single" w:color="B8922A" w:sz="10" w:space="2"/>
        </w:pBdr>
        <w:spacing w:after="80" w:before="320"/>
      </w:pPr>
      <w:r>
        <w:rPr>
          <w:rFonts w:ascii="Arial" w:cs="Arial" w:eastAsia="Arial" w:hAnsi="Arial"/>
          <w:b/>
          <w:bCs/>
          <w:color w:val="1B2A4A"/>
          <w:spacing w:val="30"/>
          <w:sz w:val="24"/>
          <w:szCs w:val="24"/>
        </w:rPr>
        <w:t xml:space="preserve">MILITARY SERVICE AND HONORS</w:t>
      </w:r>
    </w:p>
    <w:p>
      <w:pPr>
        <w:spacing w:after="80" w:before="0"/>
      </w:pPr>
      <w:r>
        <w:t xml:space="preserve"/>
      </w:r>
    </w:p>
    <w:p>
      <w:pPr>
        <w:tabs>
          <w:tab w:val="right" w:pos="9360"/>
        </w:tabs>
        <w:spacing w:after="60" w:before="120"/>
      </w:pPr>
      <w:r>
        <w:rPr>
          <w:rFonts w:ascii="Arial" w:cs="Arial" w:eastAsia="Arial" w:hAnsi="Arial"/>
          <w:b/>
          <w:bCs/>
          <w:color w:val="1B2A4A"/>
          <w:sz w:val="23"/>
          <w:szCs w:val="23"/>
        </w:rPr>
        <w:t xml:space="preserve">Captain, United States Army</w:t>
      </w:r>
      <w:r>
        <w:rPr>
          <w:sz w:val="22"/>
          <w:szCs w:val="22"/>
        </w:rPr>
        <w:t xml:space="preserve">	</w:t>
      </w:r>
      <w:r>
        <w:rPr>
          <w:rFonts w:ascii="Arial" w:cs="Arial" w:eastAsia="Arial" w:hAnsi="Arial"/>
          <w:b/>
          <w:bCs/>
          <w:color w:val="444444"/>
          <w:sz w:val="21"/>
          <w:szCs w:val="21"/>
        </w:rPr>
        <w:t xml:space="preserve">15 Years Active Duty Service</w:t>
      </w:r>
    </w:p>
    <w:p>
      <w:pPr>
        <w:pStyle w:val="ListParagraph"/>
        <w:numPr>
          <w:ilvl w:val="0"/>
          <w:numId w:val="2"/>
        </w:numPr>
        <w:spacing w:after="80" w:before="0"/>
      </w:pPr>
      <w:r>
        <w:rPr>
          <w:rFonts w:ascii="Arial" w:cs="Arial" w:eastAsia="Arial" w:hAnsi="Arial"/>
          <w:color w:val="1A1A1A"/>
          <w:sz w:val="21"/>
          <w:szCs w:val="21"/>
        </w:rPr>
        <w:t xml:space="preserve">Three combat deployments: two combat tours in Iraq and one combat tour in Afghanistan (2012).</w:t>
      </w:r>
    </w:p>
    <w:p>
      <w:pPr>
        <w:pStyle w:val="ListParagraph"/>
        <w:numPr>
          <w:ilvl w:val="0"/>
          <w:numId w:val="2"/>
        </w:numPr>
        <w:spacing w:after="80" w:before="0"/>
      </w:pPr>
      <w:r>
        <w:rPr>
          <w:rFonts w:ascii="Arial" w:cs="Arial" w:eastAsia="Arial" w:hAnsi="Arial"/>
          <w:color w:val="1A1A1A"/>
          <w:sz w:val="21"/>
          <w:szCs w:val="21"/>
        </w:rPr>
        <w:t xml:space="preserve">Iraq: Participated in over 500 combat missions across two deployments.</w:t>
      </w:r>
    </w:p>
    <w:p>
      <w:pPr>
        <w:pStyle w:val="ListParagraph"/>
        <w:numPr>
          <w:ilvl w:val="0"/>
          <w:numId w:val="2"/>
        </w:numPr>
        <w:spacing w:after="80" w:before="0"/>
      </w:pPr>
      <w:r>
        <w:rPr>
          <w:rFonts w:ascii="Arial" w:cs="Arial" w:eastAsia="Arial" w:hAnsi="Arial"/>
          <w:color w:val="1A1A1A"/>
          <w:sz w:val="21"/>
          <w:szCs w:val="21"/>
        </w:rPr>
        <w:t xml:space="preserve">Retired at the rank of Captain following 15 years of distinguished active duty service.</w:t>
      </w:r>
    </w:p>
    <w:p>
      <w:pPr>
        <w:spacing w:after="80" w:before="220"/>
      </w:pPr>
      <w:r>
        <w:rPr>
          <w:rFonts w:ascii="Arial" w:cs="Arial" w:eastAsia="Arial" w:hAnsi="Arial"/>
          <w:b/>
          <w:bCs/>
          <w:color w:val="1B2A4A"/>
          <w:sz w:val="23"/>
          <w:szCs w:val="23"/>
        </w:rPr>
        <w:t xml:space="preserve">Decorations and Honors</w:t>
      </w:r>
    </w:p>
    <w:p>
      <w:pPr>
        <w:pStyle w:val="ListParagraph"/>
        <w:numPr>
          <w:ilvl w:val="0"/>
          <w:numId w:val="2"/>
        </w:numPr>
        <w:spacing w:after="80" w:before="0"/>
      </w:pPr>
      <w:r>
        <w:rPr>
          <w:rFonts w:ascii="Arial" w:cs="Arial" w:eastAsia="Arial" w:hAnsi="Arial"/>
          <w:color w:val="1A1A1A"/>
          <w:sz w:val="21"/>
          <w:szCs w:val="21"/>
        </w:rPr>
        <w:t xml:space="preserve">Bronze Star Medal, awarded for meritorious service in connection with combat operations in Afghanistan (2012).</w:t>
      </w:r>
    </w:p>
    <w:p>
      <w:pPr>
        <w:pStyle w:val="ListParagraph"/>
        <w:numPr>
          <w:ilvl w:val="0"/>
          <w:numId w:val="2"/>
        </w:numPr>
        <w:spacing w:after="80" w:before="0"/>
      </w:pPr>
      <w:r>
        <w:rPr>
          <w:rFonts w:ascii="Arial" w:cs="Arial" w:eastAsia="Arial" w:hAnsi="Arial"/>
          <w:color w:val="1A1A1A"/>
          <w:sz w:val="21"/>
          <w:szCs w:val="21"/>
        </w:rPr>
        <w:t xml:space="preserve">Combat Action Badge, awarded for active engagement with or being engaged by the enemy during combat operations in Iraq.</w:t>
      </w:r>
    </w:p>
    <w:p>
      <w:pPr>
        <w:pStyle w:val="ListParagraph"/>
        <w:numPr>
          <w:ilvl w:val="0"/>
          <w:numId w:val="2"/>
        </w:numPr>
        <w:spacing w:after="80" w:before="0"/>
      </w:pPr>
      <w:r>
        <w:rPr>
          <w:rFonts w:ascii="Arial" w:cs="Arial" w:eastAsia="Arial" w:hAnsi="Arial"/>
          <w:color w:val="1A1A1A"/>
          <w:sz w:val="21"/>
          <w:szCs w:val="21"/>
        </w:rPr>
        <w:t xml:space="preserve">Inducted into the Honorable Order of Saint Christopher, recognition for distinguished service in the United States Army Transportation Corps.</w:t>
      </w:r>
    </w:p>
    <w:p>
      <w:pPr>
        <w:pBdr>
          <w:bottom w:val="single" w:color="B8922A" w:sz="10" w:space="2"/>
        </w:pBdr>
        <w:spacing w:after="80" w:before="320"/>
      </w:pPr>
      <w:r>
        <w:rPr>
          <w:rFonts w:ascii="Arial" w:cs="Arial" w:eastAsia="Arial" w:hAnsi="Arial"/>
          <w:b/>
          <w:bCs/>
          <w:color w:val="1B2A4A"/>
          <w:spacing w:val="30"/>
          <w:sz w:val="24"/>
          <w:szCs w:val="24"/>
        </w:rPr>
        <w:t xml:space="preserve">PROFESSIONAL AFFILIATIONS</w:t>
      </w:r>
    </w:p>
    <w:p>
      <w:pPr>
        <w:spacing w:after="80" w:before="0"/>
      </w:pPr>
      <w:r>
        <w:t xml:space="preserve"/>
      </w:r>
    </w:p>
    <w:p>
      <w:pPr>
        <w:pStyle w:val="ListParagraph"/>
        <w:numPr>
          <w:ilvl w:val="0"/>
          <w:numId w:val="2"/>
        </w:numPr>
        <w:spacing w:after="80" w:before="0"/>
      </w:pPr>
      <w:r>
        <w:rPr>
          <w:rFonts w:ascii="Arial" w:cs="Arial" w:eastAsia="Arial" w:hAnsi="Arial"/>
          <w:color w:val="1A1A1A"/>
          <w:sz w:val="21"/>
          <w:szCs w:val="21"/>
        </w:rPr>
        <w:t xml:space="preserve">State Bar of Montana</w:t>
      </w:r>
    </w:p>
    <w:p>
      <w:pPr>
        <w:pStyle w:val="ListParagraph"/>
        <w:numPr>
          <w:ilvl w:val="0"/>
          <w:numId w:val="2"/>
        </w:numPr>
        <w:spacing w:after="80" w:before="0"/>
      </w:pPr>
      <w:r>
        <w:rPr>
          <w:rFonts w:ascii="Arial" w:cs="Arial" w:eastAsia="Arial" w:hAnsi="Arial"/>
          <w:color w:val="1A1A1A"/>
          <w:sz w:val="21"/>
          <w:szCs w:val="21"/>
        </w:rPr>
        <w:t xml:space="preserve">International Association of Privacy Professionals (IAPP)</w:t>
      </w:r>
    </w:p>
    <w:p>
      <w:pPr>
        <w:pStyle w:val="ListParagraph"/>
        <w:numPr>
          <w:ilvl w:val="0"/>
          <w:numId w:val="2"/>
        </w:numPr>
        <w:spacing w:after="80" w:before="0"/>
      </w:pPr>
      <w:r>
        <w:rPr>
          <w:rFonts w:ascii="Arial" w:cs="Arial" w:eastAsia="Arial" w:hAnsi="Arial"/>
          <w:color w:val="1A1A1A"/>
          <w:sz w:val="21"/>
          <w:szCs w:val="21"/>
        </w:rPr>
        <w:t xml:space="preserve">American Bar Association</w:t>
      </w:r>
    </w:p>
    <w:p>
      <w:pPr>
        <w:spacing w:after="320" w:before="0"/>
      </w:pPr>
      <w:r>
        <w:t xml:space="preserve"/>
      </w:r>
    </w:p>
    <w:p>
      <w:pPr>
        <w:pBdr>
          <w:top w:val="single" w:color="B8922A" w:sz="6" w:space="4"/>
        </w:pBdr>
        <w:spacing w:after="40" w:before="200"/>
        <w:jc w:val="center"/>
      </w:pPr>
      <w:r>
        <w:rPr>
          <w:rFonts w:ascii="Arial" w:cs="Arial" w:eastAsia="Arial" w:hAnsi="Arial"/>
          <w:color w:val="444444"/>
          <w:sz w:val="18"/>
          <w:szCs w:val="18"/>
        </w:rPr>
        <w:t xml:space="preserve">Jacob Rebo  |  Cullis AI, LLC  |  </w:t>
      </w:r>
      <w:r>
        <w:rPr>
          <w:rFonts w:ascii="Arial" w:cs="Arial" w:eastAsia="Arial" w:hAnsi="Arial"/>
          <w:b/>
          <w:bCs/>
          <w:color w:val="1B2A4A"/>
          <w:sz w:val="18"/>
          <w:szCs w:val="18"/>
        </w:rPr>
        <w:t xml:space="preserve">jacobrebo@cullis.ai</w:t>
      </w:r>
      <w:r>
        <w:rPr>
          <w:rFonts w:ascii="Arial" w:cs="Arial" w:eastAsia="Arial" w:hAnsi="Arial"/>
          <w:color w:val="444444"/>
          <w:sz w:val="18"/>
          <w:szCs w:val="18"/>
        </w:rPr>
        <w:t xml:space="preserve">  |  406-529-5268  |  cullis.ai</w:t>
      </w:r>
    </w:p>
    <w:p>
      <w:pPr>
        <w:spacing w:after="0" w:before="0"/>
        <w:jc w:val="center"/>
      </w:pPr>
      <w:r>
        <w:rPr>
          <w:rFonts w:ascii="Arial" w:cs="Arial" w:eastAsia="Arial" w:hAnsi="Arial"/>
          <w:i/>
          <w:iCs/>
          <w:color w:val="666666"/>
          <w:sz w:val="16"/>
          <w:szCs w:val="16"/>
        </w:rPr>
        <w:t xml:space="preserve">CV Current as of May 2026</w:t>
      </w:r>
    </w:p>
    <w:sectPr>
      <w:pgSz w:w="12240" w:h="15840" w:orient="portrait"/>
      <w:pgMar w:top="90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32" w:hanging="21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2026-05-13T18:26:15.959Z</dcterms:created>
  <dcterms:modified xsi:type="dcterms:W3CDTF">2026-05-13T18:26:15.978Z</dcterms:modified>
</cp:coreProperties>
</file>

<file path=docProps/custom.xml><?xml version="1.0" encoding="utf-8"?>
<Properties xmlns="http://schemas.openxmlformats.org/officeDocument/2006/custom-properties" xmlns:vt="http://schemas.openxmlformats.org/officeDocument/2006/docPropsVTypes"/>
</file>