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jc w:val="center"/>
      </w:pPr>
      <w:r>
        <w:rPr>
          <w:rFonts w:ascii="Calibri" w:hAnsi="Calibri"/>
          <w:b/>
          <w:color w:val="1A3A5C"/>
          <w:sz w:val="44"/>
        </w:rPr>
        <w:t>AMY N. HILDRETH, MD, FACS</w:t>
      </w:r>
    </w:p>
    <w:p>
      <w:pPr>
        <w:spacing w:before="0" w:after="40"/>
        <w:jc w:val="center"/>
      </w:pPr>
      <w:r>
        <w:rPr>
          <w:rFonts w:ascii="Calibri" w:hAnsi="Calibri"/>
          <w:color w:val="555555"/>
          <w:sz w:val="22"/>
        </w:rPr>
        <w:t>Diplomate, American Board of Surgery  |  Surgical Critical Care</w:t>
      </w:r>
    </w:p>
    <w:p>
      <w:pPr>
        <w:spacing w:before="0" w:after="40"/>
        <w:jc w:val="center"/>
      </w:pPr>
      <w:r>
        <w:rPr>
          <w:rFonts w:ascii="Calibri" w:hAnsi="Calibri"/>
          <w:color w:val="555555"/>
          <w:sz w:val="22"/>
        </w:rPr>
        <w:t>Trauma Surgery  |  Emergency General Surgery  |  Medical-Legal Consulting</w:t>
      </w:r>
    </w:p>
    <w:p>
      <w:pPr>
        <w:spacing w:before="0" w:after="40"/>
        <w:jc w:val="center"/>
      </w:pPr>
      <w:r>
        <w:rPr>
          <w:rFonts w:ascii="Calibri" w:hAnsi="Calibri"/>
          <w:color w:val="555555"/>
          <w:sz w:val="20"/>
        </w:rPr>
        <w:t>Prisma Health Medical Group–Midlands  |  2 Medical Park Drive, Suite 306, Columbia, SC 29203</w:t>
      </w:r>
    </w:p>
    <w:p>
      <w:pPr>
        <w:spacing w:before="0" w:after="200"/>
        <w:jc w:val="center"/>
      </w:pPr>
      <w:r>
        <w:rPr>
          <w:rFonts w:ascii="Calibri" w:hAnsi="Calibri"/>
          <w:color w:val="555555"/>
          <w:sz w:val="20"/>
        </w:rPr>
        <w:t>803-434-8820  |  Amy.Hildreth@prismahealth.org</w:t>
      </w:r>
    </w:p>
    <w:p>
      <w:pPr>
        <w:spacing w:before="280" w:after="80"/>
        <w:pBdr>
          <w:bottom w:val="single" w:sz="6" w:space="4" w:color="1a3a5c"/>
        </w:pBdr>
      </w:pPr>
      <w:r>
        <w:rPr>
          <w:rFonts w:ascii="Calibri" w:hAnsi="Calibri"/>
          <w:b/>
          <w:color w:val="1A3A5C"/>
          <w:sz w:val="24"/>
        </w:rPr>
        <w:t>EXPERT PROFILE</w:t>
      </w:r>
    </w:p>
    <w:p>
      <w:pPr>
        <w:spacing w:before="80" w:after="160"/>
      </w:pPr>
      <w:r>
        <w:rPr>
          <w:rFonts w:ascii="Calibri" w:hAnsi="Calibri"/>
          <w:i w:val="0"/>
          <w:color w:val="222222"/>
          <w:sz w:val="20"/>
        </w:rPr>
        <w:t>Dr. Amy Hildreth is a board-certified general surgeon and surgical critical care specialist with over 15 years of active clinical practice in trauma surgery, emergency general surgery, and surgical intensive care. She serves as Chair of Surgery at Prisma Health and Clinical Professor at the University of South Carolina School of Medicine. Dr. Hildreth is a Council Member of the American Board of Surgery and has served as a Residency Program Director for over a decade, giving her exceptional expertise in surgical training standards, clinical competency, and standard-of-care benchmarks. She accepts defense referrals and is available to provide expert review and opinion in cases involving surgical and trauma standard of care, critical care management, surgical complications, and emergency general surgery.</w:t>
      </w:r>
    </w:p>
    <w:p>
      <w:pPr>
        <w:spacing w:before="280" w:after="80"/>
        <w:pBdr>
          <w:bottom w:val="single" w:sz="6" w:space="4" w:color="1a3a5c"/>
        </w:pBdr>
      </w:pPr>
      <w:r>
        <w:rPr>
          <w:rFonts w:ascii="Calibri" w:hAnsi="Calibri"/>
          <w:b/>
          <w:color w:val="1A3A5C"/>
          <w:sz w:val="24"/>
        </w:rPr>
        <w:t>AREAS OF EXPERTISE FOR LEGAL CONSULTATION</w:t>
      </w:r>
    </w:p>
    <w:p>
      <w:pPr>
        <w:spacing w:before="40" w:after="40"/>
        <w:jc w:val="left"/>
      </w:pPr>
    </w:p>
    <w:p>
      <w:pPr>
        <w:spacing w:before="40" w:after="40"/>
        <w:ind w:left="360"/>
      </w:pPr>
      <w:r>
        <w:rPr>
          <w:rFonts w:ascii="Calibri" w:hAnsi="Calibri"/>
          <w:b/>
          <w:color w:val="1A3A5C"/>
          <w:sz w:val="20"/>
        </w:rPr>
        <w:t xml:space="preserve">•  </w:t>
      </w:r>
      <w:r>
        <w:rPr>
          <w:rFonts w:ascii="Calibri" w:hAnsi="Calibri"/>
          <w:color w:val="222222"/>
          <w:sz w:val="20"/>
        </w:rPr>
        <w:t>Trauma surgery: blunt and penetrating trauma, abdominal, thoracic, and vascular injuries</w:t>
      </w:r>
    </w:p>
    <w:p>
      <w:pPr>
        <w:spacing w:before="40" w:after="40"/>
        <w:ind w:left="360"/>
      </w:pPr>
      <w:r>
        <w:rPr>
          <w:rFonts w:ascii="Calibri" w:hAnsi="Calibri"/>
          <w:b/>
          <w:color w:val="1A3A5C"/>
          <w:sz w:val="20"/>
        </w:rPr>
        <w:t xml:space="preserve">•  </w:t>
      </w:r>
      <w:r>
        <w:rPr>
          <w:rFonts w:ascii="Calibri" w:hAnsi="Calibri"/>
          <w:color w:val="222222"/>
          <w:sz w:val="20"/>
        </w:rPr>
        <w:t>Surgical critical care: ICU management, sepsis, hemodynamic monitoring, ventilator management</w:t>
      </w:r>
    </w:p>
    <w:p>
      <w:pPr>
        <w:spacing w:before="40" w:after="40"/>
        <w:ind w:left="360"/>
      </w:pPr>
      <w:r>
        <w:rPr>
          <w:rFonts w:ascii="Calibri" w:hAnsi="Calibri"/>
          <w:b/>
          <w:color w:val="1A3A5C"/>
          <w:sz w:val="20"/>
        </w:rPr>
        <w:t xml:space="preserve">•  </w:t>
      </w:r>
      <w:r>
        <w:rPr>
          <w:rFonts w:ascii="Calibri" w:hAnsi="Calibri"/>
          <w:color w:val="222222"/>
          <w:sz w:val="20"/>
        </w:rPr>
        <w:t>Emergency general surgery: acute abdomen, cholecystitis, bowel obstruction, perforations</w:t>
      </w:r>
    </w:p>
    <w:p>
      <w:pPr>
        <w:spacing w:before="40" w:after="40"/>
        <w:ind w:left="360"/>
      </w:pPr>
      <w:r>
        <w:rPr>
          <w:rFonts w:ascii="Calibri" w:hAnsi="Calibri"/>
          <w:b/>
          <w:color w:val="1A3A5C"/>
          <w:sz w:val="20"/>
        </w:rPr>
        <w:t xml:space="preserve">•  </w:t>
      </w:r>
      <w:r>
        <w:rPr>
          <w:rFonts w:ascii="Calibri" w:hAnsi="Calibri"/>
          <w:color w:val="222222"/>
          <w:sz w:val="20"/>
        </w:rPr>
        <w:t>Standard of care in surgical and critical care settings</w:t>
      </w:r>
    </w:p>
    <w:p>
      <w:pPr>
        <w:spacing w:before="40" w:after="40"/>
        <w:ind w:left="360"/>
      </w:pPr>
      <w:r>
        <w:rPr>
          <w:rFonts w:ascii="Calibri" w:hAnsi="Calibri"/>
          <w:b/>
          <w:color w:val="1A3A5C"/>
          <w:sz w:val="20"/>
        </w:rPr>
        <w:t xml:space="preserve">•  </w:t>
      </w:r>
      <w:r>
        <w:rPr>
          <w:rFonts w:ascii="Calibri" w:hAnsi="Calibri"/>
          <w:color w:val="222222"/>
          <w:sz w:val="20"/>
        </w:rPr>
        <w:t>Surgical complications and adverse outcomes analysis</w:t>
      </w:r>
    </w:p>
    <w:p>
      <w:pPr>
        <w:spacing w:before="40" w:after="40"/>
        <w:ind w:left="360"/>
      </w:pPr>
      <w:r>
        <w:rPr>
          <w:rFonts w:ascii="Calibri" w:hAnsi="Calibri"/>
          <w:b/>
          <w:color w:val="1A3A5C"/>
          <w:sz w:val="20"/>
        </w:rPr>
        <w:t xml:space="preserve">•  </w:t>
      </w:r>
      <w:r>
        <w:rPr>
          <w:rFonts w:ascii="Calibri" w:hAnsi="Calibri"/>
          <w:color w:val="222222"/>
          <w:sz w:val="20"/>
        </w:rPr>
        <w:t>Traumatic brain injury: surgical and critical care management</w:t>
      </w:r>
    </w:p>
    <w:p>
      <w:pPr>
        <w:spacing w:before="40" w:after="40"/>
        <w:ind w:left="360"/>
      </w:pPr>
      <w:r>
        <w:rPr>
          <w:rFonts w:ascii="Calibri" w:hAnsi="Calibri"/>
          <w:b/>
          <w:color w:val="1A3A5C"/>
          <w:sz w:val="20"/>
        </w:rPr>
        <w:t xml:space="preserve">•  </w:t>
      </w:r>
      <w:r>
        <w:rPr>
          <w:rFonts w:ascii="Calibri" w:hAnsi="Calibri"/>
          <w:color w:val="222222"/>
          <w:sz w:val="20"/>
        </w:rPr>
        <w:t>Blunt splenic injury and non-operative management protocols</w:t>
      </w:r>
    </w:p>
    <w:p>
      <w:pPr>
        <w:spacing w:before="40" w:after="40"/>
        <w:ind w:left="360"/>
      </w:pPr>
      <w:r>
        <w:rPr>
          <w:rFonts w:ascii="Calibri" w:hAnsi="Calibri"/>
          <w:b/>
          <w:color w:val="1A3A5C"/>
          <w:sz w:val="20"/>
        </w:rPr>
        <w:t xml:space="preserve">•  </w:t>
      </w:r>
      <w:r>
        <w:rPr>
          <w:rFonts w:ascii="Calibri" w:hAnsi="Calibri"/>
          <w:color w:val="222222"/>
          <w:sz w:val="20"/>
        </w:rPr>
        <w:t>Abdominal compartment syndrome</w:t>
      </w:r>
    </w:p>
    <w:p>
      <w:pPr>
        <w:spacing w:before="40" w:after="40"/>
        <w:ind w:left="360"/>
      </w:pPr>
      <w:r>
        <w:rPr>
          <w:rFonts w:ascii="Calibri" w:hAnsi="Calibri"/>
          <w:b/>
          <w:color w:val="1A3A5C"/>
          <w:sz w:val="20"/>
        </w:rPr>
        <w:t xml:space="preserve">•  </w:t>
      </w:r>
      <w:r>
        <w:rPr>
          <w:rFonts w:ascii="Calibri" w:hAnsi="Calibri"/>
          <w:color w:val="222222"/>
          <w:sz w:val="20"/>
        </w:rPr>
        <w:t>Pelvic fractures and associated injuries</w:t>
      </w:r>
    </w:p>
    <w:p>
      <w:pPr>
        <w:spacing w:before="40" w:after="40"/>
        <w:ind w:left="360"/>
      </w:pPr>
      <w:r>
        <w:rPr>
          <w:rFonts w:ascii="Calibri" w:hAnsi="Calibri"/>
          <w:b/>
          <w:color w:val="1A3A5C"/>
          <w:sz w:val="20"/>
        </w:rPr>
        <w:t xml:space="preserve">•  </w:t>
      </w:r>
      <w:r>
        <w:rPr>
          <w:rFonts w:ascii="Calibri" w:hAnsi="Calibri"/>
          <w:color w:val="222222"/>
          <w:sz w:val="20"/>
        </w:rPr>
        <w:t>Thoracic trauma and chest injuries</w:t>
      </w:r>
    </w:p>
    <w:p>
      <w:pPr>
        <w:spacing w:before="40" w:after="40"/>
        <w:ind w:left="360"/>
      </w:pPr>
      <w:r>
        <w:rPr>
          <w:rFonts w:ascii="Calibri" w:hAnsi="Calibri"/>
          <w:b/>
          <w:color w:val="1A3A5C"/>
          <w:sz w:val="20"/>
        </w:rPr>
        <w:t xml:space="preserve">•  </w:t>
      </w:r>
      <w:r>
        <w:rPr>
          <w:rFonts w:ascii="Calibri" w:hAnsi="Calibri"/>
          <w:color w:val="222222"/>
          <w:sz w:val="20"/>
        </w:rPr>
        <w:t>Surgical education standards, resident training, and credentialing</w:t>
      </w:r>
    </w:p>
    <w:p>
      <w:pPr>
        <w:spacing w:before="40" w:after="40"/>
        <w:jc w:val="left"/>
      </w:pPr>
    </w:p>
    <w:p>
      <w:pPr>
        <w:spacing w:before="280" w:after="80"/>
        <w:pBdr>
          <w:bottom w:val="single" w:sz="6" w:space="4" w:color="1a3a5c"/>
        </w:pBdr>
      </w:pPr>
      <w:r>
        <w:rPr>
          <w:rFonts w:ascii="Calibri" w:hAnsi="Calibri"/>
          <w:b/>
          <w:color w:val="1A3A5C"/>
          <w:sz w:val="24"/>
        </w:rPr>
        <w:t>BOARD CERTIFICATIONS &amp; LICENSURE</w:t>
      </w:r>
    </w:p>
    <w:p>
      <w:pPr>
        <w:spacing w:before="4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2008–present</w:t>
            </w:r>
          </w:p>
        </w:tc>
        <w:tc>
          <w:tcPr>
            <w:tcW w:type="dxa" w:w="7760"/>
          </w:tcPr>
          <w:p>
            <w:pPr>
              <w:spacing w:before="40" w:after="40"/>
            </w:pPr>
            <w:r>
              <w:rPr>
                <w:rFonts w:ascii="Calibri" w:hAnsi="Calibri"/>
                <w:b w:val="0"/>
                <w:color w:val="222222"/>
                <w:sz w:val="20"/>
              </w:rPr>
              <w:t>Diplomate, American Board of Surgery (Certificate No. 53998)</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2008–present</w:t>
            </w:r>
          </w:p>
        </w:tc>
        <w:tc>
          <w:tcPr>
            <w:tcW w:type="dxa" w:w="7760"/>
          </w:tcPr>
          <w:p>
            <w:pPr>
              <w:spacing w:before="40" w:after="40"/>
            </w:pPr>
            <w:r>
              <w:rPr>
                <w:rFonts w:ascii="Calibri" w:hAnsi="Calibri"/>
                <w:b w:val="0"/>
                <w:color w:val="222222"/>
                <w:sz w:val="20"/>
              </w:rPr>
              <w:t>Diplomate, American Board of Surgery — Added Qualification in Surgical Critical Care (Certificate No. 2478)</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2023–present</w:t>
            </w:r>
          </w:p>
        </w:tc>
        <w:tc>
          <w:tcPr>
            <w:tcW w:type="dxa" w:w="7760"/>
          </w:tcPr>
          <w:p>
            <w:pPr>
              <w:spacing w:before="40" w:after="40"/>
            </w:pPr>
            <w:r>
              <w:rPr>
                <w:rFonts w:ascii="Calibri" w:hAnsi="Calibri"/>
                <w:b w:val="0"/>
                <w:color w:val="222222"/>
                <w:sz w:val="20"/>
              </w:rPr>
              <w:t>State of South Carolina Medical License #2008-00767</w:t>
            </w:r>
          </w:p>
        </w:tc>
      </w:tr>
    </w:tbl>
    <w:p>
      <w:pPr>
        <w:spacing w:before="40" w:after="40"/>
        <w:jc w:val="left"/>
      </w:pPr>
    </w:p>
    <w:p>
      <w:pPr>
        <w:spacing w:before="280" w:after="80"/>
        <w:pBdr>
          <w:bottom w:val="single" w:sz="6" w:space="4" w:color="1a3a5c"/>
        </w:pBdr>
      </w:pPr>
      <w:r>
        <w:rPr>
          <w:rFonts w:ascii="Calibri" w:hAnsi="Calibri"/>
          <w:b/>
          <w:color w:val="1A3A5C"/>
          <w:sz w:val="24"/>
        </w:rPr>
        <w:t>ACADEMIC &amp; CLINICAL APPOINTMENTS</w:t>
      </w:r>
    </w:p>
    <w:p>
      <w:pPr>
        <w:spacing w:before="4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2023–present</w:t>
            </w:r>
          </w:p>
        </w:tc>
        <w:tc>
          <w:tcPr>
            <w:tcW w:type="dxa" w:w="7760"/>
          </w:tcPr>
          <w:p>
            <w:pPr>
              <w:spacing w:before="40" w:after="40"/>
            </w:pPr>
            <w:r>
              <w:rPr>
                <w:rFonts w:ascii="Calibri" w:hAnsi="Calibri"/>
                <w:b/>
                <w:color w:val="222222"/>
                <w:sz w:val="20"/>
              </w:rPr>
              <w:t>Chair of Surgery, Prisma Health Medical Group–Midlands</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r>
          </w:p>
        </w:tc>
        <w:tc>
          <w:tcPr>
            <w:tcW w:type="dxa" w:w="7760"/>
          </w:tcPr>
          <w:p>
            <w:pPr>
              <w:spacing w:before="40" w:after="40"/>
            </w:pPr>
            <w:r>
              <w:rPr>
                <w:rFonts w:ascii="Calibri" w:hAnsi="Calibri"/>
                <w:b w:val="0"/>
                <w:color w:val="222222"/>
                <w:sz w:val="20"/>
              </w:rPr>
              <w:t>Clinical Professor of Surgery, University of South Carolina School of Medicine</w:t>
            </w:r>
          </w:p>
        </w:tc>
      </w:tr>
    </w:tbl>
    <w:p>
      <w:pPr>
        <w:spacing w:before="8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2022–2023</w:t>
            </w:r>
          </w:p>
        </w:tc>
        <w:tc>
          <w:tcPr>
            <w:tcW w:type="dxa" w:w="7760"/>
          </w:tcPr>
          <w:p>
            <w:pPr>
              <w:spacing w:before="40" w:after="40"/>
            </w:pPr>
            <w:r>
              <w:rPr>
                <w:rFonts w:ascii="Calibri" w:hAnsi="Calibri"/>
                <w:b w:val="0"/>
                <w:color w:val="222222"/>
                <w:sz w:val="20"/>
              </w:rPr>
              <w:t>Professor of Surgery, Wake Forest School of Medicine</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2019–present</w:t>
            </w:r>
          </w:p>
        </w:tc>
        <w:tc>
          <w:tcPr>
            <w:tcW w:type="dxa" w:w="7760"/>
          </w:tcPr>
          <w:p>
            <w:pPr>
              <w:spacing w:before="40" w:after="40"/>
            </w:pPr>
            <w:r>
              <w:rPr>
                <w:rFonts w:ascii="Calibri" w:hAnsi="Calibri"/>
                <w:b w:val="0"/>
                <w:color w:val="222222"/>
                <w:sz w:val="20"/>
              </w:rPr>
              <w:t>Associate Chair of Education, Department of Surgery, Wake Forest</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2015–present</w:t>
            </w:r>
          </w:p>
        </w:tc>
        <w:tc>
          <w:tcPr>
            <w:tcW w:type="dxa" w:w="7760"/>
          </w:tcPr>
          <w:p>
            <w:pPr>
              <w:spacing w:before="40" w:after="40"/>
            </w:pPr>
            <w:r>
              <w:rPr>
                <w:rFonts w:ascii="Calibri" w:hAnsi="Calibri"/>
                <w:b w:val="0"/>
                <w:color w:val="222222"/>
                <w:sz w:val="20"/>
              </w:rPr>
              <w:t>Residency Program Director, Department of Surgery, Wake Forest</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2015–2022</w:t>
            </w:r>
          </w:p>
        </w:tc>
        <w:tc>
          <w:tcPr>
            <w:tcW w:type="dxa" w:w="7760"/>
          </w:tcPr>
          <w:p>
            <w:pPr>
              <w:spacing w:before="40" w:after="40"/>
            </w:pPr>
            <w:r>
              <w:rPr>
                <w:rFonts w:ascii="Calibri" w:hAnsi="Calibri"/>
                <w:b w:val="0"/>
                <w:color w:val="222222"/>
                <w:sz w:val="20"/>
              </w:rPr>
              <w:t>Associate Professor of Surgery, Wake Forest School of Medicine</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2010–2015</w:t>
            </w:r>
          </w:p>
        </w:tc>
        <w:tc>
          <w:tcPr>
            <w:tcW w:type="dxa" w:w="7760"/>
          </w:tcPr>
          <w:p>
            <w:pPr>
              <w:spacing w:before="40" w:after="40"/>
            </w:pPr>
            <w:r>
              <w:rPr>
                <w:rFonts w:ascii="Calibri" w:hAnsi="Calibri"/>
                <w:b w:val="0"/>
                <w:color w:val="222222"/>
                <w:sz w:val="20"/>
              </w:rPr>
              <w:t>Assistant Residency Program Director, Wake Forest School of Medicine</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2008–2015</w:t>
            </w:r>
          </w:p>
        </w:tc>
        <w:tc>
          <w:tcPr>
            <w:tcW w:type="dxa" w:w="7760"/>
          </w:tcPr>
          <w:p>
            <w:pPr>
              <w:spacing w:before="40" w:after="40"/>
            </w:pPr>
            <w:r>
              <w:rPr>
                <w:rFonts w:ascii="Calibri" w:hAnsi="Calibri"/>
                <w:b w:val="0"/>
                <w:color w:val="222222"/>
                <w:sz w:val="20"/>
              </w:rPr>
              <w:t>Assistant Professor of Surgery, Wake Forest School of Medicine</w:t>
            </w:r>
          </w:p>
        </w:tc>
      </w:tr>
    </w:tbl>
    <w:p>
      <w:pPr>
        <w:spacing w:before="40" w:after="40"/>
        <w:jc w:val="left"/>
      </w:pPr>
    </w:p>
    <w:p>
      <w:pPr>
        <w:spacing w:before="280" w:after="80"/>
        <w:pBdr>
          <w:bottom w:val="single" w:sz="6" w:space="4" w:color="1a3a5c"/>
        </w:pBdr>
      </w:pPr>
      <w:r>
        <w:rPr>
          <w:rFonts w:ascii="Calibri" w:hAnsi="Calibri"/>
          <w:b/>
          <w:color w:val="1A3A5C"/>
          <w:sz w:val="24"/>
        </w:rPr>
        <w:t>EDUCATION &amp; POSTDOCTORAL TRAINING</w:t>
      </w:r>
    </w:p>
    <w:p>
      <w:pPr>
        <w:spacing w:before="4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2002</w:t>
            </w:r>
          </w:p>
        </w:tc>
        <w:tc>
          <w:tcPr>
            <w:tcW w:type="dxa" w:w="7760"/>
          </w:tcPr>
          <w:p>
            <w:pPr>
              <w:spacing w:before="40" w:after="40"/>
            </w:pPr>
            <w:r>
              <w:rPr>
                <w:rFonts w:ascii="Calibri" w:hAnsi="Calibri"/>
                <w:b w:val="0"/>
                <w:color w:val="222222"/>
                <w:sz w:val="20"/>
              </w:rPr>
              <w:t>M.D., University of South Carolina School of Medicine, Columbia, SC</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1998</w:t>
            </w:r>
          </w:p>
        </w:tc>
        <w:tc>
          <w:tcPr>
            <w:tcW w:type="dxa" w:w="7760"/>
          </w:tcPr>
          <w:p>
            <w:pPr>
              <w:spacing w:before="40" w:after="40"/>
            </w:pPr>
            <w:r>
              <w:rPr>
                <w:rFonts w:ascii="Calibri" w:hAnsi="Calibri"/>
                <w:b w:val="0"/>
                <w:color w:val="222222"/>
                <w:sz w:val="20"/>
              </w:rPr>
              <w:t>B.A., English, University of Georgia, Athens, GA</w:t>
            </w:r>
          </w:p>
        </w:tc>
      </w:tr>
    </w:tbl>
    <w:p>
      <w:pPr>
        <w:spacing w:before="8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2003–2008</w:t>
            </w:r>
          </w:p>
        </w:tc>
        <w:tc>
          <w:tcPr>
            <w:tcW w:type="dxa" w:w="7760"/>
          </w:tcPr>
          <w:p>
            <w:pPr>
              <w:spacing w:before="40" w:after="40"/>
            </w:pPr>
            <w:r>
              <w:rPr>
                <w:rFonts w:ascii="Calibri" w:hAnsi="Calibri"/>
                <w:b w:val="0"/>
                <w:color w:val="222222"/>
                <w:sz w:val="20"/>
              </w:rPr>
              <w:t>General Surgery Residency, University of Tennessee College of Medicine, Chattanooga, TN</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2006</w:t>
            </w:r>
          </w:p>
        </w:tc>
        <w:tc>
          <w:tcPr>
            <w:tcW w:type="dxa" w:w="7760"/>
          </w:tcPr>
          <w:p>
            <w:pPr>
              <w:spacing w:before="40" w:after="40"/>
            </w:pPr>
            <w:r>
              <w:rPr>
                <w:rFonts w:ascii="Calibri" w:hAnsi="Calibri"/>
                <w:b w:val="0"/>
                <w:color w:val="222222"/>
                <w:sz w:val="20"/>
              </w:rPr>
              <w:t>Fellowship, Surgical Critical Care, University of Tennessee College of Medicine</w:t>
            </w:r>
          </w:p>
        </w:tc>
      </w:tr>
    </w:tbl>
    <w:p>
      <w:pPr>
        <w:spacing w:before="40" w:after="40"/>
        <w:jc w:val="left"/>
      </w:pPr>
    </w:p>
    <w:p>
      <w:pPr>
        <w:spacing w:before="280" w:after="80"/>
        <w:pBdr>
          <w:bottom w:val="single" w:sz="6" w:space="4" w:color="1a3a5c"/>
        </w:pBdr>
      </w:pPr>
      <w:r>
        <w:rPr>
          <w:rFonts w:ascii="Calibri" w:hAnsi="Calibri"/>
          <w:b/>
          <w:color w:val="1A3A5C"/>
          <w:sz w:val="24"/>
        </w:rPr>
        <w:t>NATIONAL BOARD &amp; PROFESSIONAL LEADERSHIP</w:t>
      </w:r>
    </w:p>
    <w:p>
      <w:pPr>
        <w:spacing w:before="4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2020–present</w:t>
            </w:r>
          </w:p>
        </w:tc>
        <w:tc>
          <w:tcPr>
            <w:tcW w:type="dxa" w:w="7760"/>
          </w:tcPr>
          <w:p>
            <w:pPr>
              <w:spacing w:before="40" w:after="40"/>
            </w:pPr>
            <w:r>
              <w:rPr>
                <w:rFonts w:ascii="Calibri" w:hAnsi="Calibri"/>
                <w:b w:val="0"/>
                <w:color w:val="222222"/>
                <w:sz w:val="20"/>
              </w:rPr>
              <w:t>Council Member, American Board of Surgery</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2023–present</w:t>
            </w:r>
          </w:p>
        </w:tc>
        <w:tc>
          <w:tcPr>
            <w:tcW w:type="dxa" w:w="7760"/>
          </w:tcPr>
          <w:p>
            <w:pPr>
              <w:spacing w:before="40" w:after="40"/>
            </w:pPr>
            <w:r>
              <w:rPr>
                <w:rFonts w:ascii="Calibri" w:hAnsi="Calibri"/>
                <w:b w:val="0"/>
                <w:color w:val="222222"/>
                <w:sz w:val="20"/>
              </w:rPr>
              <w:t>Chair, Diplomates and Surgeons in Practice Committee, American Board of Surgery</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2020–present</w:t>
            </w:r>
          </w:p>
        </w:tc>
        <w:tc>
          <w:tcPr>
            <w:tcW w:type="dxa" w:w="7760"/>
          </w:tcPr>
          <w:p>
            <w:pPr>
              <w:spacing w:before="40" w:after="40"/>
            </w:pPr>
            <w:r>
              <w:rPr>
                <w:rFonts w:ascii="Calibri" w:hAnsi="Calibri"/>
                <w:b w:val="0"/>
                <w:color w:val="222222"/>
                <w:sz w:val="20"/>
              </w:rPr>
              <w:t>Member, Trauma, Burns and Surgical Critical Care Board, American Board of Surgery</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2021–present</w:t>
            </w:r>
          </w:p>
        </w:tc>
        <w:tc>
          <w:tcPr>
            <w:tcW w:type="dxa" w:w="7760"/>
          </w:tcPr>
          <w:p>
            <w:pPr>
              <w:spacing w:before="40" w:after="40"/>
            </w:pPr>
            <w:r>
              <w:rPr>
                <w:rFonts w:ascii="Calibri" w:hAnsi="Calibri"/>
                <w:b w:val="0"/>
                <w:color w:val="222222"/>
                <w:sz w:val="20"/>
              </w:rPr>
              <w:t>Chair, Resident Education Committee, American College of Surgeons</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2018–present</w:t>
            </w:r>
          </w:p>
        </w:tc>
        <w:tc>
          <w:tcPr>
            <w:tcW w:type="dxa" w:w="7760"/>
          </w:tcPr>
          <w:p>
            <w:pPr>
              <w:spacing w:before="40" w:after="40"/>
            </w:pPr>
            <w:r>
              <w:rPr>
                <w:rFonts w:ascii="Calibri" w:hAnsi="Calibri"/>
                <w:b w:val="0"/>
                <w:color w:val="222222"/>
                <w:sz w:val="20"/>
              </w:rPr>
              <w:t>Vice Chair, Resident Education Committee, American College of Surgeons</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2018–2020</w:t>
            </w:r>
          </w:p>
        </w:tc>
        <w:tc>
          <w:tcPr>
            <w:tcW w:type="dxa" w:w="7760"/>
          </w:tcPr>
          <w:p>
            <w:pPr>
              <w:spacing w:before="40" w:after="40"/>
            </w:pPr>
            <w:r>
              <w:rPr>
                <w:rFonts w:ascii="Calibri" w:hAnsi="Calibri"/>
                <w:b w:val="0"/>
                <w:color w:val="222222"/>
                <w:sz w:val="20"/>
              </w:rPr>
              <w:t>Associate Examiner, American Board of Surgery</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2019–2023</w:t>
            </w:r>
          </w:p>
        </w:tc>
        <w:tc>
          <w:tcPr>
            <w:tcW w:type="dxa" w:w="7760"/>
          </w:tcPr>
          <w:p>
            <w:pPr>
              <w:spacing w:before="40" w:after="40"/>
            </w:pPr>
            <w:r>
              <w:rPr>
                <w:rFonts w:ascii="Calibri" w:hAnsi="Calibri"/>
                <w:b w:val="0"/>
                <w:color w:val="222222"/>
                <w:sz w:val="20"/>
              </w:rPr>
              <w:t>Operations Division Lead, Association of Program Directors in Surgery</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2021–2022</w:t>
            </w:r>
          </w:p>
        </w:tc>
        <w:tc>
          <w:tcPr>
            <w:tcW w:type="dxa" w:w="7760"/>
          </w:tcPr>
          <w:p>
            <w:pPr>
              <w:spacing w:before="40" w:after="40"/>
            </w:pPr>
            <w:r>
              <w:rPr>
                <w:rFonts w:ascii="Calibri" w:hAnsi="Calibri"/>
                <w:b w:val="0"/>
                <w:color w:val="222222"/>
                <w:sz w:val="20"/>
              </w:rPr>
              <w:t>President, North Carolina Chapter, American College of Surgeons</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2013–2019</w:t>
            </w:r>
          </w:p>
        </w:tc>
        <w:tc>
          <w:tcPr>
            <w:tcW w:type="dxa" w:w="7760"/>
          </w:tcPr>
          <w:p>
            <w:pPr>
              <w:spacing w:before="40" w:after="40"/>
            </w:pPr>
            <w:r>
              <w:rPr>
                <w:rFonts w:ascii="Calibri" w:hAnsi="Calibri"/>
                <w:b w:val="0"/>
                <w:color w:val="222222"/>
                <w:sz w:val="20"/>
              </w:rPr>
              <w:t>Chair, NC District #5, Committee on Applicants, American College of Surgeons</w:t>
            </w:r>
          </w:p>
        </w:tc>
      </w:tr>
    </w:tbl>
    <w:p>
      <w:pPr>
        <w:spacing w:before="40" w:after="40"/>
        <w:jc w:val="left"/>
      </w:pPr>
    </w:p>
    <w:p>
      <w:pPr>
        <w:spacing w:before="280" w:after="80"/>
        <w:pBdr>
          <w:bottom w:val="single" w:sz="6" w:space="4" w:color="1a3a5c"/>
        </w:pBdr>
      </w:pPr>
      <w:r>
        <w:rPr>
          <w:rFonts w:ascii="Calibri" w:hAnsi="Calibri"/>
          <w:b/>
          <w:color w:val="1A3A5C"/>
          <w:sz w:val="24"/>
        </w:rPr>
        <w:t>PROFESSIONAL MEMBERSHIPS</w:t>
      </w:r>
    </w:p>
    <w:p>
      <w:pPr>
        <w:spacing w:before="40" w:after="40"/>
        <w:jc w:val="left"/>
      </w:pPr>
    </w:p>
    <w:p>
      <w:pPr>
        <w:spacing w:before="40" w:after="40"/>
        <w:ind w:left="360"/>
      </w:pPr>
      <w:r>
        <w:rPr>
          <w:rFonts w:ascii="Calibri" w:hAnsi="Calibri"/>
          <w:b/>
          <w:color w:val="1A3A5C"/>
          <w:sz w:val="20"/>
        </w:rPr>
        <w:t xml:space="preserve">•  </w:t>
      </w:r>
      <w:r>
        <w:rPr>
          <w:rFonts w:ascii="Calibri" w:hAnsi="Calibri"/>
          <w:color w:val="222222"/>
          <w:sz w:val="20"/>
        </w:rPr>
        <w:t>Fellow, American College of Surgeons (2010–present)</w:t>
      </w:r>
    </w:p>
    <w:p>
      <w:pPr>
        <w:spacing w:before="40" w:after="40"/>
        <w:ind w:left="360"/>
      </w:pPr>
      <w:r>
        <w:rPr>
          <w:rFonts w:ascii="Calibri" w:hAnsi="Calibri"/>
          <w:b/>
          <w:color w:val="1A3A5C"/>
          <w:sz w:val="20"/>
        </w:rPr>
        <w:t xml:space="preserve">•  </w:t>
      </w:r>
      <w:r>
        <w:rPr>
          <w:rFonts w:ascii="Calibri" w:hAnsi="Calibri"/>
          <w:color w:val="222222"/>
          <w:sz w:val="20"/>
        </w:rPr>
        <w:t>Fellow, American Association for the Surgery of Trauma (2011–present)</w:t>
      </w:r>
    </w:p>
    <w:p>
      <w:pPr>
        <w:spacing w:before="40" w:after="40"/>
        <w:ind w:left="360"/>
      </w:pPr>
      <w:r>
        <w:rPr>
          <w:rFonts w:ascii="Calibri" w:hAnsi="Calibri"/>
          <w:b/>
          <w:color w:val="1A3A5C"/>
          <w:sz w:val="20"/>
        </w:rPr>
        <w:t xml:space="preserve">•  </w:t>
      </w:r>
      <w:r>
        <w:rPr>
          <w:rFonts w:ascii="Calibri" w:hAnsi="Calibri"/>
          <w:color w:val="222222"/>
          <w:sz w:val="20"/>
        </w:rPr>
        <w:t>Member, Eastern Association for the Surgery of Trauma (2010–present)</w:t>
      </w:r>
    </w:p>
    <w:p>
      <w:pPr>
        <w:spacing w:before="40" w:after="40"/>
        <w:ind w:left="360"/>
      </w:pPr>
      <w:r>
        <w:rPr>
          <w:rFonts w:ascii="Calibri" w:hAnsi="Calibri"/>
          <w:b/>
          <w:color w:val="1A3A5C"/>
          <w:sz w:val="20"/>
        </w:rPr>
        <w:t xml:space="preserve">•  </w:t>
      </w:r>
      <w:r>
        <w:rPr>
          <w:rFonts w:ascii="Calibri" w:hAnsi="Calibri"/>
          <w:color w:val="222222"/>
          <w:sz w:val="20"/>
        </w:rPr>
        <w:t>Fellow, Southeastern Surgical Congress (2010–present)</w:t>
      </w:r>
    </w:p>
    <w:p>
      <w:pPr>
        <w:spacing w:before="40" w:after="40"/>
        <w:ind w:left="360"/>
      </w:pPr>
      <w:r>
        <w:rPr>
          <w:rFonts w:ascii="Calibri" w:hAnsi="Calibri"/>
          <w:b/>
          <w:color w:val="1A3A5C"/>
          <w:sz w:val="20"/>
        </w:rPr>
        <w:t xml:space="preserve">•  </w:t>
      </w:r>
      <w:r>
        <w:rPr>
          <w:rFonts w:ascii="Calibri" w:hAnsi="Calibri"/>
          <w:color w:val="222222"/>
          <w:sz w:val="20"/>
        </w:rPr>
        <w:t>Member, Association of Program Directors in Surgery (2014–present)</w:t>
      </w:r>
    </w:p>
    <w:p>
      <w:pPr>
        <w:spacing w:before="40" w:after="40"/>
        <w:jc w:val="left"/>
      </w:pPr>
    </w:p>
    <w:p>
      <w:pPr>
        <w:spacing w:before="280" w:after="80"/>
        <w:pBdr>
          <w:bottom w:val="single" w:sz="6" w:space="4" w:color="1a3a5c"/>
        </w:pBdr>
      </w:pPr>
      <w:r>
        <w:rPr>
          <w:rFonts w:ascii="Calibri" w:hAnsi="Calibri"/>
          <w:b/>
          <w:color w:val="1A3A5C"/>
          <w:sz w:val="24"/>
        </w:rPr>
        <w:t>EDITORIAL &amp; PEER REVIEW</w:t>
      </w:r>
    </w:p>
    <w:p>
      <w:pPr>
        <w:spacing w:before="40" w:after="40"/>
        <w:jc w:val="left"/>
      </w:pPr>
    </w:p>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2020–present</w:t>
            </w:r>
          </w:p>
        </w:tc>
        <w:tc>
          <w:tcPr>
            <w:tcW w:type="dxa" w:w="7760"/>
          </w:tcPr>
          <w:p>
            <w:pPr>
              <w:spacing w:before="40" w:after="40"/>
            </w:pPr>
            <w:r>
              <w:rPr>
                <w:rFonts w:ascii="Calibri" w:hAnsi="Calibri"/>
                <w:b w:val="0"/>
                <w:color w:val="222222"/>
                <w:sz w:val="20"/>
              </w:rPr>
              <w:t>Editorial Board, Journal of Surgical Education</w:t>
            </w:r>
          </w:p>
        </w:tc>
      </w:tr>
    </w:tbl>
    <w:tbl>
      <w:tblPr>
        <w:tblStyle w:val="TableGrid"/>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1600"/>
          </w:tcPr>
          <w:p>
            <w:pPr>
              <w:spacing w:before="40" w:after="40"/>
            </w:pPr>
            <w:r>
              <w:rPr>
                <w:rFonts w:ascii="Calibri" w:hAnsi="Calibri"/>
                <w:color w:val="555555"/>
                <w:sz w:val="20"/>
              </w:rPr>
              <w:t>2020</w:t>
            </w:r>
          </w:p>
        </w:tc>
        <w:tc>
          <w:tcPr>
            <w:tcW w:type="dxa" w:w="7760"/>
          </w:tcPr>
          <w:p>
            <w:pPr>
              <w:spacing w:before="40" w:after="40"/>
            </w:pPr>
            <w:r>
              <w:rPr>
                <w:rFonts w:ascii="Calibri" w:hAnsi="Calibri"/>
                <w:b w:val="0"/>
                <w:color w:val="222222"/>
                <w:sz w:val="20"/>
              </w:rPr>
              <w:t>Reviewer of the Year, Journal of Surgical Education</w:t>
            </w:r>
          </w:p>
        </w:tc>
      </w:tr>
    </w:tbl>
    <w:p>
      <w:pPr>
        <w:spacing w:before="80" w:after="40"/>
        <w:jc w:val="left"/>
      </w:pPr>
    </w:p>
    <w:p>
      <w:pPr>
        <w:spacing w:before="40" w:after="40"/>
      </w:pPr>
      <w:r>
        <w:rPr>
          <w:rFonts w:ascii="Calibri" w:hAnsi="Calibri"/>
          <w:i w:val="0"/>
          <w:color w:val="222222"/>
          <w:sz w:val="20"/>
        </w:rPr>
        <w:t>Peer Reviewer for: Annals of Surgery, Journal of the American College of Surgeons, American Journal of Surgery, American Surgeon, Surgery, Postgraduate Medical Journal</w:t>
      </w:r>
    </w:p>
    <w:p>
      <w:pPr>
        <w:spacing w:before="40" w:after="40"/>
        <w:jc w:val="left"/>
      </w:pPr>
    </w:p>
    <w:p>
      <w:pPr>
        <w:spacing w:before="280" w:after="80"/>
        <w:pBdr>
          <w:bottom w:val="single" w:sz="6" w:space="4" w:color="1a3a5c"/>
        </w:pBdr>
      </w:pPr>
      <w:r>
        <w:rPr>
          <w:rFonts w:ascii="Calibri" w:hAnsi="Calibri"/>
          <w:b/>
          <w:color w:val="1A3A5C"/>
          <w:sz w:val="24"/>
        </w:rPr>
        <w:t>SELECTED PUBLICATIONS — TRAUMA &amp; SURGICAL CRITICAL CARE</w:t>
      </w:r>
    </w:p>
    <w:p>
      <w:pPr>
        <w:spacing w:before="40" w:after="40"/>
        <w:jc w:val="left"/>
      </w:pPr>
    </w:p>
    <w:p>
      <w:pPr>
        <w:spacing w:before="40" w:after="60"/>
      </w:pPr>
      <w:r>
        <w:rPr>
          <w:rFonts w:ascii="Calibri" w:hAnsi="Calibri"/>
          <w:i w:val="0"/>
          <w:color w:val="222222"/>
          <w:sz w:val="20"/>
        </w:rPr>
        <w:t>Hildreth AN et al. Adrenal Insufficiency Following a Single Dose of Etomidate for Rapid Sequence Induction: A Prospective Randomized Study. J Trauma. 2008;65(3):573-579.</w:t>
      </w:r>
    </w:p>
    <w:p>
      <w:pPr>
        <w:spacing w:before="40" w:after="60"/>
      </w:pPr>
      <w:r>
        <w:rPr>
          <w:rFonts w:ascii="Calibri" w:hAnsi="Calibri"/>
          <w:i w:val="0"/>
          <w:color w:val="222222"/>
          <w:sz w:val="20"/>
        </w:rPr>
        <w:t>Hildreth AN et al. Surgical ICU Mobility is Increased Following Institution of a Computerized Mobility Order Set and ICU Mobility Protocol. Am Surg. 2010;76(8):818-822.</w:t>
      </w:r>
    </w:p>
    <w:p>
      <w:pPr>
        <w:spacing w:before="40" w:after="60"/>
      </w:pPr>
      <w:r>
        <w:rPr>
          <w:rFonts w:ascii="Calibri" w:hAnsi="Calibri"/>
          <w:i w:val="0"/>
          <w:color w:val="222222"/>
          <w:sz w:val="20"/>
        </w:rPr>
        <w:t>Mowery NT, Hildreth AN et al. Practice Management Guidelines for Management of Hemothorax and Occult Pneumothorax. J Trauma. 2011;70(2):510-18.</w:t>
      </w:r>
    </w:p>
    <w:p>
      <w:pPr>
        <w:spacing w:before="40" w:after="60"/>
      </w:pPr>
      <w:r>
        <w:rPr>
          <w:rFonts w:ascii="Calibri" w:hAnsi="Calibri"/>
          <w:i w:val="0"/>
          <w:color w:val="222222"/>
          <w:sz w:val="20"/>
        </w:rPr>
        <w:t>Mowery NT, Hildreth AN et al. Emergency Department Length of Stay is an Independent Predictor of Hospital Mortality in Trauma Activation Patients. J Trauma. 2011;70(6):1317-1325.</w:t>
      </w:r>
    </w:p>
    <w:p>
      <w:pPr>
        <w:spacing w:before="40" w:after="60"/>
      </w:pPr>
      <w:r>
        <w:rPr>
          <w:rFonts w:ascii="Calibri" w:hAnsi="Calibri"/>
          <w:i w:val="0"/>
          <w:color w:val="222222"/>
          <w:sz w:val="20"/>
        </w:rPr>
        <w:t>Miller PR, Hildreth AN et al. Prospective Trial of Angiography and Embolization of All Grade III to V Blunt Splenic Injuries. J Am Coll Surg. 2014;218(4):644-648.</w:t>
      </w:r>
    </w:p>
    <w:p>
      <w:pPr>
        <w:spacing w:before="40" w:after="60"/>
      </w:pPr>
      <w:r>
        <w:rPr>
          <w:rFonts w:ascii="Calibri" w:hAnsi="Calibri"/>
          <w:i w:val="0"/>
          <w:color w:val="222222"/>
          <w:sz w:val="20"/>
        </w:rPr>
        <w:t>Harrell KN, Hildreth AN et al. Management of blunt traumatic abdominal wall hernias: A Western Trauma Association multicenter study. J Trauma Acute Care Surg. 2021;91(5):834-840.</w:t>
      </w:r>
    </w:p>
    <w:p>
      <w:pPr>
        <w:spacing w:before="40" w:after="60"/>
      </w:pPr>
      <w:r>
        <w:rPr>
          <w:rFonts w:ascii="Calibri" w:hAnsi="Calibri"/>
          <w:i w:val="0"/>
          <w:color w:val="222222"/>
          <w:sz w:val="20"/>
        </w:rPr>
        <w:t>Stettler GR, Hildreth AN et al. Management of bladder neck injury after complex pelvic fracture. Trauma Surg Acute Care Open. 2022;7(1):e001033.</w:t>
      </w:r>
    </w:p>
    <w:p>
      <w:pPr>
        <w:spacing w:before="40" w:after="60"/>
      </w:pPr>
      <w:r>
        <w:rPr>
          <w:rFonts w:ascii="Calibri" w:hAnsi="Calibri"/>
          <w:i w:val="0"/>
          <w:color w:val="222222"/>
          <w:sz w:val="20"/>
        </w:rPr>
        <w:t>Appelbaum RD, Hildreth AN et al. Improving the Culture of Safety: A Prospective Handoff Initiative from the OR to the Trauma ICU. Am Surg. 2022;88(7):1584-1587.</w:t>
      </w:r>
    </w:p>
    <w:p>
      <w:pPr>
        <w:spacing w:before="40" w:after="60"/>
      </w:pPr>
      <w:r>
        <w:rPr>
          <w:rFonts w:ascii="Calibri" w:hAnsi="Calibri"/>
          <w:i w:val="0"/>
          <w:color w:val="222222"/>
          <w:sz w:val="20"/>
        </w:rPr>
        <w:t>Hildreth AN et al. Perceptions and reality: surgical critical care training in the time of COVID-19. Global Surg Educ. 2023;113(2).</w:t>
      </w:r>
    </w:p>
    <w:p>
      <w:pPr>
        <w:spacing w:before="40" w:after="40"/>
        <w:jc w:val="left"/>
      </w:pPr>
    </w:p>
    <w:p>
      <w:pPr>
        <w:spacing w:before="40" w:after="160"/>
      </w:pPr>
      <w:r>
        <w:rPr>
          <w:rFonts w:ascii="Calibri" w:hAnsi="Calibri"/>
          <w:i/>
          <w:color w:val="555555"/>
          <w:sz w:val="20"/>
        </w:rPr>
        <w:t>Complete publication list available on request (38 peer-reviewed articles). Book chapters include: 'Chest Injury' in Acute Care Surgery (Lippincott, 2012) and 'Introduction to Trauma Care' in The Trauma Manual, 4th and 5th Editions.</w:t>
      </w:r>
    </w:p>
    <w:p>
      <w:pPr>
        <w:spacing w:before="280" w:after="80"/>
        <w:pBdr>
          <w:bottom w:val="single" w:sz="6" w:space="4" w:color="1a3a5c"/>
        </w:pBdr>
      </w:pPr>
      <w:r>
        <w:rPr>
          <w:rFonts w:ascii="Calibri" w:hAnsi="Calibri"/>
          <w:b/>
          <w:color w:val="1A3A5C"/>
          <w:sz w:val="24"/>
        </w:rPr>
        <w:t>SELECTED INVITED PRESENTATIONS</w:t>
      </w:r>
    </w:p>
    <w:p>
      <w:pPr>
        <w:spacing w:before="40" w:after="40"/>
        <w:jc w:val="left"/>
      </w:pPr>
    </w:p>
    <w:p>
      <w:pPr>
        <w:spacing w:before="40" w:after="40"/>
      </w:pPr>
      <w:r>
        <w:rPr>
          <w:rFonts w:ascii="Calibri" w:hAnsi="Calibri"/>
          <w:i w:val="0"/>
          <w:color w:val="222222"/>
          <w:sz w:val="20"/>
        </w:rPr>
        <w:t>"Abdominal Compartment Syndrome." ACS Clinical Congress Post-Graduate Course: Challenging Surgical Emergencies. Chicago, IL. September 2012.</w:t>
      </w:r>
    </w:p>
    <w:p>
      <w:pPr>
        <w:spacing w:before="40" w:after="40"/>
      </w:pPr>
      <w:r>
        <w:rPr>
          <w:rFonts w:ascii="Calibri" w:hAnsi="Calibri"/>
          <w:i w:val="0"/>
          <w:color w:val="222222"/>
          <w:sz w:val="20"/>
        </w:rPr>
        <w:t>"Complicated Trauma Cases." Trauma Care–A US Experience Seminar, Mumbai, India. June 2013.</w:t>
      </w:r>
    </w:p>
    <w:p>
      <w:pPr>
        <w:spacing w:before="40" w:after="40"/>
      </w:pPr>
      <w:r>
        <w:rPr>
          <w:rFonts w:ascii="Calibri" w:hAnsi="Calibri"/>
          <w:i w:val="0"/>
          <w:color w:val="222222"/>
          <w:sz w:val="20"/>
        </w:rPr>
        <w:t>"Management of Extremity Vascular Injury." Trauma Care–A US Experience Seminar, Mumbai, India. June 2013.</w:t>
      </w:r>
    </w:p>
    <w:p>
      <w:pPr>
        <w:spacing w:before="40" w:after="40"/>
      </w:pPr>
      <w:r>
        <w:rPr>
          <w:rFonts w:ascii="Calibri" w:hAnsi="Calibri"/>
          <w:i w:val="0"/>
          <w:color w:val="222222"/>
          <w:sz w:val="20"/>
        </w:rPr>
        <w:t>"Blunt Splenic Injuries." University of Tennessee–Chattanooga Department of Surgery Grand Rounds. October 2010.</w:t>
      </w:r>
    </w:p>
    <w:p>
      <w:pPr>
        <w:spacing w:before="40" w:after="40"/>
        <w:jc w:val="left"/>
      </w:pPr>
    </w:p>
    <w:p>
      <w:pPr>
        <w:spacing w:before="40" w:after="160"/>
      </w:pPr>
      <w:r>
        <w:rPr>
          <w:rFonts w:ascii="Calibri" w:hAnsi="Calibri"/>
          <w:i/>
          <w:color w:val="555555"/>
          <w:sz w:val="20"/>
        </w:rPr>
        <w:t>Full presentation list (30+ invited talks) available on request.</w:t>
      </w:r>
    </w:p>
    <w:p>
      <w:pPr>
        <w:spacing w:before="280" w:after="80"/>
        <w:pBdr>
          <w:bottom w:val="single" w:sz="6" w:space="4" w:color="1a3a5c"/>
        </w:pBdr>
      </w:pPr>
      <w:r>
        <w:rPr>
          <w:rFonts w:ascii="Calibri" w:hAnsi="Calibri"/>
          <w:b/>
          <w:color w:val="1A3A5C"/>
          <w:sz w:val="24"/>
        </w:rPr>
        <w:t>CLINICAL EXPERIENCE SUMMARY</w:t>
      </w:r>
    </w:p>
    <w:p>
      <w:pPr>
        <w:spacing w:before="80" w:after="120"/>
      </w:pPr>
      <w:r>
        <w:rPr>
          <w:rFonts w:ascii="Calibri" w:hAnsi="Calibri"/>
          <w:i w:val="0"/>
          <w:color w:val="222222"/>
          <w:sz w:val="20"/>
        </w:rPr>
        <w:t>Dr. Hildreth has maintained active clinical practice in trauma surgery and emergency general surgery since 2008, with continuous involvement in surgical critical care. Her clinical experience encompasses management of high-acuity trauma and surgical patients across Level I trauma center environments, including operative and non-operative management of abdominal, thoracic, vascular, and orthopedic injuries.</w:t>
      </w:r>
    </w:p>
    <w:p>
      <w:pPr>
        <w:spacing w:before="40" w:after="400"/>
      </w:pPr>
      <w:r>
        <w:rPr>
          <w:rFonts w:ascii="Calibri" w:hAnsi="Calibri"/>
          <w:i w:val="0"/>
          <w:color w:val="222222"/>
          <w:sz w:val="20"/>
        </w:rPr>
        <w:t>As a long-serving Program Director and Chair of the Clinical Competency Committee, Dr. Hildreth has evaluated surgical trainees against established standards of care for over a decade, making her uniquely qualified to opine on both attending and resident-level surgical performance and training standards.</w:t>
      </w:r>
    </w:p>
    <w:p>
      <w:pPr>
        <w:spacing w:before="160" w:after="80"/>
        <w:jc w:val="center"/>
      </w:pPr>
      <w:r>
        <w:rPr>
          <w:rFonts w:ascii="Calibri" w:hAnsi="Calibri"/>
          <w:i/>
          <w:color w:val="555555"/>
          <w:sz w:val="18"/>
        </w:rPr>
        <w:t>Expert witness services available for defense matters  |  Case review and testimony  |  References on request</w:t>
      </w:r>
    </w:p>
    <w:sectPr w:rsidR="00FC693F" w:rsidRPr="0006063C"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