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3509B97" w14:textId="77777777" w:rsidR="00151408" w:rsidRPr="007032E5" w:rsidRDefault="00C305AB">
      <w:pPr>
        <w:spacing w:after="60"/>
        <w:jc w:val="center"/>
        <w:rPr>
          <w:sz w:val="48"/>
          <w:szCs w:val="48"/>
        </w:rPr>
      </w:pPr>
      <w:r w:rsidRPr="007032E5">
        <w:rPr>
          <w:b/>
          <w:bCs/>
          <w:color w:val="1F3864"/>
          <w:sz w:val="48"/>
          <w:szCs w:val="48"/>
        </w:rPr>
        <w:t>AMEE A. SHAH</w:t>
      </w:r>
    </w:p>
    <w:p w14:paraId="366DBCF5" w14:textId="77777777" w:rsidR="00151408" w:rsidRDefault="00C305AB">
      <w:pPr>
        <w:spacing w:after="40"/>
        <w:jc w:val="center"/>
      </w:pPr>
      <w:r>
        <w:rPr>
          <w:b/>
          <w:bCs/>
          <w:color w:val="2E5FA3"/>
          <w:sz w:val="24"/>
          <w:szCs w:val="24"/>
        </w:rPr>
        <w:t xml:space="preserve">Expert </w:t>
      </w:r>
      <w:proofErr w:type="gramStart"/>
      <w:r>
        <w:rPr>
          <w:b/>
          <w:bCs/>
          <w:color w:val="2E5FA3"/>
          <w:sz w:val="24"/>
          <w:szCs w:val="24"/>
        </w:rPr>
        <w:t>Witness  |</w:t>
      </w:r>
      <w:proofErr w:type="gramEnd"/>
      <w:r>
        <w:rPr>
          <w:b/>
          <w:bCs/>
          <w:color w:val="2E5FA3"/>
          <w:sz w:val="24"/>
          <w:szCs w:val="24"/>
        </w:rPr>
        <w:t xml:space="preserve">  Former USPTO Administrative Patent Judge</w:t>
      </w:r>
    </w:p>
    <w:p w14:paraId="2AF6D953" w14:textId="313FE7F8" w:rsidR="00151408" w:rsidRPr="007032E5" w:rsidRDefault="00C305AB">
      <w:pPr>
        <w:spacing w:after="20"/>
        <w:jc w:val="center"/>
      </w:pPr>
      <w:r w:rsidRPr="007032E5">
        <w:rPr>
          <w:color w:val="666666"/>
        </w:rPr>
        <w:t xml:space="preserve">Potomac, MD </w:t>
      </w:r>
      <w:proofErr w:type="gramStart"/>
      <w:r w:rsidRPr="007032E5">
        <w:rPr>
          <w:color w:val="666666"/>
        </w:rPr>
        <w:t>20854  ·</w:t>
      </w:r>
      <w:proofErr w:type="gramEnd"/>
      <w:r w:rsidRPr="007032E5">
        <w:rPr>
          <w:color w:val="666666"/>
        </w:rPr>
        <w:t xml:space="preserve">  301-</w:t>
      </w:r>
      <w:r w:rsidR="007032E5" w:rsidRPr="007032E5">
        <w:rPr>
          <w:color w:val="666666"/>
        </w:rPr>
        <w:t>637-5370</w:t>
      </w:r>
      <w:r w:rsidRPr="007032E5">
        <w:rPr>
          <w:color w:val="666666"/>
        </w:rPr>
        <w:t xml:space="preserve"> </w:t>
      </w:r>
      <w:proofErr w:type="gramStart"/>
      <w:r w:rsidRPr="007032E5">
        <w:rPr>
          <w:color w:val="666666"/>
        </w:rPr>
        <w:t xml:space="preserve">·  </w:t>
      </w:r>
      <w:r w:rsidR="007032E5" w:rsidRPr="007032E5">
        <w:rPr>
          <w:color w:val="666666"/>
        </w:rPr>
        <w:t>amee.shah@benchviewconsulting.com</w:t>
      </w:r>
      <w:proofErr w:type="gramEnd"/>
      <w:r w:rsidRPr="007032E5">
        <w:rPr>
          <w:color w:val="666666"/>
        </w:rPr>
        <w:t xml:space="preserve">  </w:t>
      </w:r>
      <w:proofErr w:type="gramStart"/>
      <w:r w:rsidRPr="007032E5">
        <w:rPr>
          <w:color w:val="666666"/>
        </w:rPr>
        <w:t>·  linkedin.com</w:t>
      </w:r>
      <w:proofErr w:type="gramEnd"/>
      <w:r w:rsidRPr="007032E5">
        <w:rPr>
          <w:color w:val="666666"/>
        </w:rPr>
        <w:t>/in/</w:t>
      </w:r>
      <w:proofErr w:type="spellStart"/>
      <w:r w:rsidRPr="007032E5">
        <w:rPr>
          <w:color w:val="666666"/>
        </w:rPr>
        <w:t>ameeashah</w:t>
      </w:r>
      <w:proofErr w:type="spellEnd"/>
    </w:p>
    <w:p w14:paraId="5AFC0238" w14:textId="77777777" w:rsidR="00151408" w:rsidRDefault="00151408">
      <w:pPr>
        <w:pBdr>
          <w:bottom w:val="single" w:sz="12" w:space="1" w:color="1F3864"/>
        </w:pBdr>
        <w:spacing w:before="80" w:after="80"/>
      </w:pPr>
    </w:p>
    <w:p w14:paraId="10EDF99C" w14:textId="77777777" w:rsidR="00151408" w:rsidRPr="007032E5" w:rsidRDefault="00C305AB">
      <w:pPr>
        <w:pBdr>
          <w:bottom w:val="single" w:sz="8" w:space="4" w:color="2E5FA3"/>
        </w:pBdr>
        <w:spacing w:before="280" w:after="80"/>
        <w:rPr>
          <w:sz w:val="24"/>
          <w:szCs w:val="24"/>
        </w:rPr>
      </w:pPr>
      <w:r w:rsidRPr="007032E5">
        <w:rPr>
          <w:b/>
          <w:bCs/>
          <w:color w:val="1F3864"/>
          <w:sz w:val="24"/>
          <w:szCs w:val="24"/>
        </w:rPr>
        <w:t>EXPERT WITNESS PROFILE</w:t>
      </w:r>
    </w:p>
    <w:p w14:paraId="148D924B" w14:textId="77777777" w:rsidR="00151408" w:rsidRPr="007032E5" w:rsidRDefault="00C305AB">
      <w:pPr>
        <w:spacing w:before="100" w:after="100"/>
        <w:rPr>
          <w:sz w:val="22"/>
          <w:szCs w:val="22"/>
        </w:rPr>
      </w:pPr>
      <w:r w:rsidRPr="007032E5">
        <w:rPr>
          <w:color w:val="444444"/>
          <w:sz w:val="22"/>
          <w:szCs w:val="22"/>
        </w:rPr>
        <w:t xml:space="preserve">Former Administrative Patent Judge with over 30 years of combined legal, technical, and patent expertise. Available to provide expert witness testimony and litigation support in patent validity, inter partes review, claim construction, patent eligible subject matter, and PTAB procedure. Uniquely qualified by nearly a decade presiding over IPR proceedings and ex </w:t>
      </w:r>
      <w:proofErr w:type="spellStart"/>
      <w:r w:rsidRPr="007032E5">
        <w:rPr>
          <w:color w:val="444444"/>
          <w:sz w:val="22"/>
          <w:szCs w:val="22"/>
        </w:rPr>
        <w:t>parte</w:t>
      </w:r>
      <w:proofErr w:type="spellEnd"/>
      <w:r w:rsidRPr="007032E5">
        <w:rPr>
          <w:color w:val="444444"/>
          <w:sz w:val="22"/>
          <w:szCs w:val="22"/>
        </w:rPr>
        <w:t xml:space="preserve"> appeals across all five PTAB technology areas, combined with hands-on engineering experience in complex mechanical and systems design, and a litigation background as both advocate and adjudicator.</w:t>
      </w:r>
    </w:p>
    <w:p w14:paraId="1631F8B4" w14:textId="77777777" w:rsidR="00151408" w:rsidRPr="007032E5" w:rsidRDefault="00C305AB">
      <w:pPr>
        <w:pBdr>
          <w:bottom w:val="single" w:sz="8" w:space="4" w:color="2E5FA3"/>
        </w:pBdr>
        <w:spacing w:before="280" w:after="80"/>
        <w:rPr>
          <w:sz w:val="24"/>
          <w:szCs w:val="24"/>
        </w:rPr>
      </w:pPr>
      <w:r w:rsidRPr="007032E5">
        <w:rPr>
          <w:b/>
          <w:bCs/>
          <w:color w:val="1F3864"/>
          <w:sz w:val="24"/>
          <w:szCs w:val="24"/>
        </w:rPr>
        <w:t>EXPERT WITNESS SERVICES &amp; AVAILABILITY</w:t>
      </w:r>
    </w:p>
    <w:p w14:paraId="161EC060" w14:textId="77777777" w:rsidR="00151408" w:rsidRPr="007032E5" w:rsidRDefault="00C305AB">
      <w:pPr>
        <w:pStyle w:val="ListParagraph"/>
        <w:numPr>
          <w:ilvl w:val="0"/>
          <w:numId w:val="2"/>
        </w:numPr>
        <w:spacing w:before="40" w:after="40"/>
        <w:rPr>
          <w:sz w:val="22"/>
          <w:szCs w:val="22"/>
        </w:rPr>
      </w:pPr>
      <w:r w:rsidRPr="007032E5">
        <w:rPr>
          <w:b/>
          <w:bCs/>
          <w:sz w:val="22"/>
          <w:szCs w:val="22"/>
        </w:rPr>
        <w:t>Testimony:</w:t>
      </w:r>
      <w:r w:rsidRPr="007032E5">
        <w:rPr>
          <w:color w:val="444444"/>
          <w:sz w:val="22"/>
          <w:szCs w:val="22"/>
        </w:rPr>
        <w:t xml:space="preserve"> Available for deposition and trial testimony in patent validity, invalidity, claim construction, and PTAB procedure matters</w:t>
      </w:r>
    </w:p>
    <w:p w14:paraId="34C6D215" w14:textId="77777777" w:rsidR="00151408" w:rsidRPr="007032E5" w:rsidRDefault="00C305AB">
      <w:pPr>
        <w:pStyle w:val="ListParagraph"/>
        <w:numPr>
          <w:ilvl w:val="0"/>
          <w:numId w:val="2"/>
        </w:numPr>
        <w:spacing w:before="40" w:after="40"/>
        <w:rPr>
          <w:sz w:val="22"/>
          <w:szCs w:val="22"/>
        </w:rPr>
      </w:pPr>
      <w:r w:rsidRPr="007032E5">
        <w:rPr>
          <w:b/>
          <w:bCs/>
          <w:sz w:val="22"/>
          <w:szCs w:val="22"/>
        </w:rPr>
        <w:t>Litigation Support:</w:t>
      </w:r>
      <w:r w:rsidRPr="007032E5">
        <w:rPr>
          <w:color w:val="444444"/>
          <w:sz w:val="22"/>
          <w:szCs w:val="22"/>
        </w:rPr>
        <w:t xml:space="preserve"> Claim charts, validity and invalidity opinions, IPR petition and response review, expert reports</w:t>
      </w:r>
    </w:p>
    <w:p w14:paraId="4A7633BD" w14:textId="0391615F" w:rsidR="00151408" w:rsidRPr="007032E5" w:rsidRDefault="00C305AB">
      <w:pPr>
        <w:pStyle w:val="ListParagraph"/>
        <w:numPr>
          <w:ilvl w:val="0"/>
          <w:numId w:val="2"/>
        </w:numPr>
        <w:spacing w:before="40" w:after="40"/>
        <w:rPr>
          <w:sz w:val="22"/>
          <w:szCs w:val="22"/>
        </w:rPr>
      </w:pPr>
      <w:r w:rsidRPr="007032E5">
        <w:rPr>
          <w:b/>
          <w:bCs/>
          <w:sz w:val="22"/>
          <w:szCs w:val="22"/>
        </w:rPr>
        <w:t>Technical Areas:</w:t>
      </w:r>
      <w:r w:rsidRPr="007032E5">
        <w:rPr>
          <w:color w:val="444444"/>
          <w:sz w:val="22"/>
          <w:szCs w:val="22"/>
        </w:rPr>
        <w:t xml:space="preserve"> Business methods, software, artificial intelligence, data processing, mechanical systems, electrical, semiconductors, medical devices, naval architecture and marine engineering</w:t>
      </w:r>
    </w:p>
    <w:p w14:paraId="33ABB7C5" w14:textId="77777777" w:rsidR="00151408" w:rsidRPr="007032E5" w:rsidRDefault="00C305AB">
      <w:pPr>
        <w:pStyle w:val="ListParagraph"/>
        <w:numPr>
          <w:ilvl w:val="0"/>
          <w:numId w:val="2"/>
        </w:numPr>
        <w:spacing w:before="40" w:after="40"/>
        <w:rPr>
          <w:sz w:val="22"/>
          <w:szCs w:val="22"/>
        </w:rPr>
      </w:pPr>
      <w:r w:rsidRPr="007032E5">
        <w:rPr>
          <w:b/>
          <w:bCs/>
          <w:sz w:val="22"/>
          <w:szCs w:val="22"/>
        </w:rPr>
        <w:t>Prior Testimony:</w:t>
      </w:r>
      <w:r w:rsidRPr="007032E5">
        <w:rPr>
          <w:color w:val="444444"/>
          <w:sz w:val="22"/>
          <w:szCs w:val="22"/>
        </w:rPr>
        <w:t xml:space="preserve"> Available upon request</w:t>
      </w:r>
    </w:p>
    <w:p w14:paraId="5DB5DFCC" w14:textId="77777777" w:rsidR="00151408" w:rsidRPr="007032E5" w:rsidRDefault="00C305AB">
      <w:pPr>
        <w:pBdr>
          <w:bottom w:val="single" w:sz="8" w:space="4" w:color="2E5FA3"/>
        </w:pBdr>
        <w:spacing w:before="280" w:after="80"/>
        <w:rPr>
          <w:sz w:val="24"/>
          <w:szCs w:val="24"/>
        </w:rPr>
      </w:pPr>
      <w:r w:rsidRPr="007032E5">
        <w:rPr>
          <w:b/>
          <w:bCs/>
          <w:color w:val="1F3864"/>
          <w:sz w:val="24"/>
          <w:szCs w:val="24"/>
        </w:rPr>
        <w:t>PROFESSIONAL EXPERIENCE</w:t>
      </w:r>
    </w:p>
    <w:p w14:paraId="25579025" w14:textId="77777777" w:rsidR="00151408" w:rsidRPr="007032E5" w:rsidRDefault="00C305AB">
      <w:pPr>
        <w:spacing w:before="200" w:after="20"/>
        <w:rPr>
          <w:sz w:val="22"/>
          <w:szCs w:val="22"/>
        </w:rPr>
      </w:pPr>
      <w:r w:rsidRPr="007032E5">
        <w:rPr>
          <w:b/>
          <w:bCs/>
          <w:sz w:val="22"/>
          <w:szCs w:val="22"/>
        </w:rPr>
        <w:t xml:space="preserve">BenchView </w:t>
      </w:r>
      <w:proofErr w:type="gramStart"/>
      <w:r w:rsidRPr="007032E5">
        <w:rPr>
          <w:b/>
          <w:bCs/>
          <w:sz w:val="22"/>
          <w:szCs w:val="22"/>
        </w:rPr>
        <w:t>Consulting</w:t>
      </w:r>
      <w:r w:rsidRPr="007032E5">
        <w:rPr>
          <w:color w:val="999999"/>
          <w:sz w:val="22"/>
          <w:szCs w:val="22"/>
        </w:rPr>
        <w:t xml:space="preserve">  |</w:t>
      </w:r>
      <w:proofErr w:type="gramEnd"/>
      <w:r w:rsidRPr="007032E5">
        <w:rPr>
          <w:color w:val="999999"/>
          <w:sz w:val="22"/>
          <w:szCs w:val="22"/>
        </w:rPr>
        <w:t xml:space="preserve">  </w:t>
      </w:r>
      <w:r w:rsidRPr="007032E5">
        <w:rPr>
          <w:b/>
          <w:bCs/>
          <w:color w:val="2E5FA3"/>
          <w:sz w:val="22"/>
          <w:szCs w:val="22"/>
        </w:rPr>
        <w:t>Founder &amp; Managing Member</w:t>
      </w:r>
    </w:p>
    <w:p w14:paraId="2B4198A9" w14:textId="77777777" w:rsidR="00151408" w:rsidRPr="007032E5" w:rsidRDefault="00C305AB">
      <w:pPr>
        <w:spacing w:after="80"/>
        <w:rPr>
          <w:color w:val="262626" w:themeColor="text1" w:themeTint="D9"/>
          <w:sz w:val="22"/>
          <w:szCs w:val="22"/>
        </w:rPr>
      </w:pPr>
      <w:r w:rsidRPr="007032E5">
        <w:rPr>
          <w:i/>
          <w:iCs/>
          <w:color w:val="262626" w:themeColor="text1" w:themeTint="D9"/>
          <w:sz w:val="22"/>
          <w:szCs w:val="22"/>
        </w:rPr>
        <w:t xml:space="preserve">May 2025 – </w:t>
      </w:r>
      <w:proofErr w:type="gramStart"/>
      <w:r w:rsidRPr="007032E5">
        <w:rPr>
          <w:i/>
          <w:iCs/>
          <w:color w:val="262626" w:themeColor="text1" w:themeTint="D9"/>
          <w:sz w:val="22"/>
          <w:szCs w:val="22"/>
        </w:rPr>
        <w:t>Present</w:t>
      </w:r>
      <w:r w:rsidRPr="007032E5">
        <w:rPr>
          <w:color w:val="262626" w:themeColor="text1" w:themeTint="D9"/>
          <w:sz w:val="22"/>
          <w:szCs w:val="22"/>
        </w:rPr>
        <w:t xml:space="preserve">  ·</w:t>
      </w:r>
      <w:proofErr w:type="gramEnd"/>
      <w:r w:rsidRPr="007032E5">
        <w:rPr>
          <w:color w:val="262626" w:themeColor="text1" w:themeTint="D9"/>
          <w:sz w:val="22"/>
          <w:szCs w:val="22"/>
        </w:rPr>
        <w:t xml:space="preserve">  Washington DC-Baltimore Area</w:t>
      </w:r>
    </w:p>
    <w:p w14:paraId="0E8A4E3C"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Provides expert witness testimony and strategic patent litigation support to law firms and in-house counsel.</w:t>
      </w:r>
    </w:p>
    <w:p w14:paraId="6AE8082B"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Services include patent validity and invalidity analysis, IPR strategy, claim construction opinions, prosecution oversight, and portfolio analysis.</w:t>
      </w:r>
    </w:p>
    <w:p w14:paraId="628E588C" w14:textId="77777777" w:rsidR="00151408" w:rsidRPr="007032E5" w:rsidRDefault="00C305AB">
      <w:pPr>
        <w:spacing w:before="200" w:after="20"/>
        <w:rPr>
          <w:sz w:val="22"/>
          <w:szCs w:val="22"/>
        </w:rPr>
      </w:pPr>
      <w:r w:rsidRPr="007032E5">
        <w:rPr>
          <w:b/>
          <w:bCs/>
          <w:sz w:val="22"/>
          <w:szCs w:val="22"/>
        </w:rPr>
        <w:t xml:space="preserve">United States Patent &amp; Trademark </w:t>
      </w:r>
      <w:proofErr w:type="gramStart"/>
      <w:r w:rsidRPr="007032E5">
        <w:rPr>
          <w:b/>
          <w:bCs/>
          <w:sz w:val="22"/>
          <w:szCs w:val="22"/>
        </w:rPr>
        <w:t>Office</w:t>
      </w:r>
      <w:r w:rsidRPr="007032E5">
        <w:rPr>
          <w:color w:val="999999"/>
          <w:sz w:val="22"/>
          <w:szCs w:val="22"/>
        </w:rPr>
        <w:t xml:space="preserve">  |</w:t>
      </w:r>
      <w:proofErr w:type="gramEnd"/>
      <w:r w:rsidRPr="007032E5">
        <w:rPr>
          <w:color w:val="999999"/>
          <w:sz w:val="22"/>
          <w:szCs w:val="22"/>
        </w:rPr>
        <w:t xml:space="preserve">  </w:t>
      </w:r>
      <w:r w:rsidRPr="007032E5">
        <w:rPr>
          <w:b/>
          <w:bCs/>
          <w:color w:val="2E5FA3"/>
          <w:sz w:val="22"/>
          <w:szCs w:val="22"/>
        </w:rPr>
        <w:t>Administrative Patent Judge, PTAB</w:t>
      </w:r>
    </w:p>
    <w:p w14:paraId="09E7E787" w14:textId="77777777" w:rsidR="00151408" w:rsidRPr="007032E5" w:rsidRDefault="00C305AB">
      <w:pPr>
        <w:spacing w:after="80"/>
        <w:rPr>
          <w:color w:val="262626" w:themeColor="text1" w:themeTint="D9"/>
          <w:sz w:val="22"/>
          <w:szCs w:val="22"/>
        </w:rPr>
      </w:pPr>
      <w:r w:rsidRPr="007032E5">
        <w:rPr>
          <w:i/>
          <w:iCs/>
          <w:color w:val="262626" w:themeColor="text1" w:themeTint="D9"/>
          <w:sz w:val="22"/>
          <w:szCs w:val="22"/>
        </w:rPr>
        <w:t xml:space="preserve">June 2015 – April </w:t>
      </w:r>
      <w:proofErr w:type="gramStart"/>
      <w:r w:rsidRPr="007032E5">
        <w:rPr>
          <w:i/>
          <w:iCs/>
          <w:color w:val="262626" w:themeColor="text1" w:themeTint="D9"/>
          <w:sz w:val="22"/>
          <w:szCs w:val="22"/>
        </w:rPr>
        <w:t>2025</w:t>
      </w:r>
      <w:r w:rsidRPr="007032E5">
        <w:rPr>
          <w:color w:val="262626" w:themeColor="text1" w:themeTint="D9"/>
          <w:sz w:val="22"/>
          <w:szCs w:val="22"/>
        </w:rPr>
        <w:t xml:space="preserve">  ·</w:t>
      </w:r>
      <w:proofErr w:type="gramEnd"/>
      <w:r w:rsidRPr="007032E5">
        <w:rPr>
          <w:color w:val="262626" w:themeColor="text1" w:themeTint="D9"/>
          <w:sz w:val="22"/>
          <w:szCs w:val="22"/>
        </w:rPr>
        <w:t xml:space="preserve">  Alexandria, VA</w:t>
      </w:r>
    </w:p>
    <w:p w14:paraId="20A9D267"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 xml:space="preserve">Presided over and authored decisions in inter partes review (IPR) proceedings and ex </w:t>
      </w:r>
      <w:proofErr w:type="spellStart"/>
      <w:r w:rsidRPr="007032E5">
        <w:rPr>
          <w:color w:val="262626" w:themeColor="text1" w:themeTint="D9"/>
          <w:sz w:val="22"/>
          <w:szCs w:val="22"/>
        </w:rPr>
        <w:t>parte</w:t>
      </w:r>
      <w:proofErr w:type="spellEnd"/>
      <w:r w:rsidRPr="007032E5">
        <w:rPr>
          <w:color w:val="262626" w:themeColor="text1" w:themeTint="D9"/>
          <w:sz w:val="22"/>
          <w:szCs w:val="22"/>
        </w:rPr>
        <w:t xml:space="preserve"> appeals across all five PTAB technology areas: business methods, mechanical, electrical, biotechnology, and chemical.</w:t>
      </w:r>
    </w:p>
    <w:p w14:paraId="2DF98147"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Adjudicated disputes spanning data processing, graphical user interfaces, artificial intelligence, mechanical structures, computer systems, semiconductors, and medical devices and technology.</w:t>
      </w:r>
    </w:p>
    <w:p w14:paraId="57E13BAF"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Served as PTAB point of contact for patent eligible subject matter (35 U.S.C. § 101), reviewing and authoring decisions designated as informative guidance and training examiners on USPTO § 101 guidance implementation.</w:t>
      </w:r>
    </w:p>
    <w:p w14:paraId="76BB9FEF"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Developed and delivered presentations and panel discussions to internal and external stakeholders on the U.S. patent appeals process, PTAB practices, and USPTO guidance.</w:t>
      </w:r>
    </w:p>
    <w:p w14:paraId="16F37B3A"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Led and coordinated PTAB initiatives to improve internal and external policies, processes, and communication.</w:t>
      </w:r>
    </w:p>
    <w:p w14:paraId="15CB2D06" w14:textId="77777777" w:rsidR="00151408" w:rsidRPr="007032E5" w:rsidRDefault="00C305AB" w:rsidP="007032E5">
      <w:pPr>
        <w:pStyle w:val="ListParagraph"/>
        <w:numPr>
          <w:ilvl w:val="0"/>
          <w:numId w:val="2"/>
        </w:numPr>
        <w:spacing w:before="40" w:after="40"/>
        <w:ind w:left="490" w:hanging="245"/>
        <w:rPr>
          <w:color w:val="262626" w:themeColor="text1" w:themeTint="D9"/>
          <w:sz w:val="22"/>
          <w:szCs w:val="22"/>
        </w:rPr>
      </w:pPr>
      <w:r w:rsidRPr="007032E5">
        <w:rPr>
          <w:color w:val="262626" w:themeColor="text1" w:themeTint="D9"/>
          <w:sz w:val="22"/>
          <w:szCs w:val="22"/>
        </w:rPr>
        <w:t>Mentored junior USPTO employees on work product and career development.</w:t>
      </w:r>
    </w:p>
    <w:p w14:paraId="26ADE49F" w14:textId="3AFCEB3D" w:rsidR="00151408" w:rsidRPr="007032E5" w:rsidRDefault="00C305AB">
      <w:pPr>
        <w:spacing w:before="200" w:after="20"/>
        <w:rPr>
          <w:sz w:val="22"/>
          <w:szCs w:val="22"/>
        </w:rPr>
      </w:pPr>
      <w:r w:rsidRPr="007032E5">
        <w:rPr>
          <w:b/>
          <w:bCs/>
          <w:sz w:val="22"/>
          <w:szCs w:val="22"/>
        </w:rPr>
        <w:lastRenderedPageBreak/>
        <w:t xml:space="preserve">United States Patent &amp; Trademark </w:t>
      </w:r>
      <w:proofErr w:type="gramStart"/>
      <w:r w:rsidRPr="007032E5">
        <w:rPr>
          <w:b/>
          <w:bCs/>
          <w:sz w:val="22"/>
          <w:szCs w:val="22"/>
        </w:rPr>
        <w:t>Office</w:t>
      </w:r>
      <w:r w:rsidRPr="007032E5">
        <w:rPr>
          <w:color w:val="999999"/>
          <w:sz w:val="22"/>
          <w:szCs w:val="22"/>
        </w:rPr>
        <w:t xml:space="preserve">  |</w:t>
      </w:r>
      <w:proofErr w:type="gramEnd"/>
      <w:r w:rsidRPr="007032E5">
        <w:rPr>
          <w:color w:val="999999"/>
          <w:sz w:val="22"/>
          <w:szCs w:val="22"/>
        </w:rPr>
        <w:t xml:space="preserve">  </w:t>
      </w:r>
      <w:r w:rsidRPr="007032E5">
        <w:rPr>
          <w:b/>
          <w:bCs/>
          <w:color w:val="2E5FA3"/>
          <w:sz w:val="22"/>
          <w:szCs w:val="22"/>
        </w:rPr>
        <w:t>Primary Examiner</w:t>
      </w:r>
      <w:r w:rsidR="007032E5">
        <w:rPr>
          <w:b/>
          <w:bCs/>
          <w:color w:val="2E5FA3"/>
          <w:sz w:val="22"/>
          <w:szCs w:val="22"/>
        </w:rPr>
        <w:t>, TC3600</w:t>
      </w:r>
    </w:p>
    <w:p w14:paraId="78288246" w14:textId="77777777" w:rsidR="00151408" w:rsidRPr="007032E5" w:rsidRDefault="00C305AB">
      <w:pPr>
        <w:spacing w:after="80"/>
        <w:rPr>
          <w:color w:val="262626" w:themeColor="text1" w:themeTint="D9"/>
          <w:sz w:val="22"/>
          <w:szCs w:val="22"/>
        </w:rPr>
      </w:pPr>
      <w:r w:rsidRPr="007032E5">
        <w:rPr>
          <w:i/>
          <w:iCs/>
          <w:color w:val="262626" w:themeColor="text1" w:themeTint="D9"/>
          <w:sz w:val="22"/>
          <w:szCs w:val="22"/>
        </w:rPr>
        <w:t xml:space="preserve">March 2005 – June </w:t>
      </w:r>
      <w:proofErr w:type="gramStart"/>
      <w:r w:rsidRPr="007032E5">
        <w:rPr>
          <w:i/>
          <w:iCs/>
          <w:color w:val="262626" w:themeColor="text1" w:themeTint="D9"/>
          <w:sz w:val="22"/>
          <w:szCs w:val="22"/>
        </w:rPr>
        <w:t>2015</w:t>
      </w:r>
      <w:r w:rsidRPr="007032E5">
        <w:rPr>
          <w:color w:val="262626" w:themeColor="text1" w:themeTint="D9"/>
          <w:sz w:val="22"/>
          <w:szCs w:val="22"/>
        </w:rPr>
        <w:t xml:space="preserve">  ·</w:t>
      </w:r>
      <w:proofErr w:type="gramEnd"/>
      <w:r w:rsidRPr="007032E5">
        <w:rPr>
          <w:color w:val="262626" w:themeColor="text1" w:themeTint="D9"/>
          <w:sz w:val="22"/>
          <w:szCs w:val="22"/>
        </w:rPr>
        <w:t xml:space="preserve">  Alexandria, VA</w:t>
      </w:r>
    </w:p>
    <w:p w14:paraId="451AA174"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Examined and reviewed patent applications including PCT applications in software-related technologies, performing prior art analyses, authoring office actions, and applying procedural and legal standards of administrative patent law.</w:t>
      </w:r>
    </w:p>
    <w:p w14:paraId="29B0B9E1"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Served as Acting Supervisory Examiner, managing and training examiners and classifying applications.</w:t>
      </w:r>
    </w:p>
    <w:p w14:paraId="7BD7C54D"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Quality Nominee on committee redefining the U.S. Patent Classification and Cooperative Patent Classification (CPC) systems.</w:t>
      </w:r>
    </w:p>
    <w:p w14:paraId="1999B303" w14:textId="77777777" w:rsidR="00151408" w:rsidRPr="007032E5" w:rsidRDefault="00C305AB">
      <w:pPr>
        <w:spacing w:before="200" w:after="20"/>
        <w:rPr>
          <w:sz w:val="22"/>
          <w:szCs w:val="22"/>
        </w:rPr>
      </w:pPr>
      <w:r w:rsidRPr="007032E5">
        <w:rPr>
          <w:b/>
          <w:bCs/>
          <w:sz w:val="22"/>
          <w:szCs w:val="22"/>
        </w:rPr>
        <w:t>Law Office of Amee A. Shah P.C.</w:t>
      </w:r>
      <w:r w:rsidRPr="007032E5">
        <w:rPr>
          <w:color w:val="999999"/>
          <w:sz w:val="22"/>
          <w:szCs w:val="22"/>
        </w:rPr>
        <w:t xml:space="preserve">  </w:t>
      </w:r>
      <w:proofErr w:type="gramStart"/>
      <w:r w:rsidRPr="007032E5">
        <w:rPr>
          <w:color w:val="999999"/>
          <w:sz w:val="22"/>
          <w:szCs w:val="22"/>
        </w:rPr>
        <w:t xml:space="preserve">|  </w:t>
      </w:r>
      <w:r w:rsidRPr="007032E5">
        <w:rPr>
          <w:b/>
          <w:bCs/>
          <w:color w:val="2E5FA3"/>
          <w:sz w:val="22"/>
          <w:szCs w:val="22"/>
        </w:rPr>
        <w:t>Founder</w:t>
      </w:r>
      <w:proofErr w:type="gramEnd"/>
      <w:r w:rsidRPr="007032E5">
        <w:rPr>
          <w:b/>
          <w:bCs/>
          <w:color w:val="2E5FA3"/>
          <w:sz w:val="22"/>
          <w:szCs w:val="22"/>
        </w:rPr>
        <w:t xml:space="preserve"> &amp; Shareholder</w:t>
      </w:r>
    </w:p>
    <w:p w14:paraId="387548EA" w14:textId="77777777" w:rsidR="00151408" w:rsidRPr="007032E5" w:rsidRDefault="00C305AB">
      <w:pPr>
        <w:spacing w:after="80"/>
        <w:rPr>
          <w:color w:val="262626" w:themeColor="text1" w:themeTint="D9"/>
          <w:sz w:val="22"/>
          <w:szCs w:val="22"/>
        </w:rPr>
      </w:pPr>
      <w:r w:rsidRPr="007032E5">
        <w:rPr>
          <w:i/>
          <w:iCs/>
          <w:color w:val="262626" w:themeColor="text1" w:themeTint="D9"/>
          <w:sz w:val="22"/>
          <w:szCs w:val="22"/>
        </w:rPr>
        <w:t xml:space="preserve">June 2002 – March </w:t>
      </w:r>
      <w:proofErr w:type="gramStart"/>
      <w:r w:rsidRPr="007032E5">
        <w:rPr>
          <w:i/>
          <w:iCs/>
          <w:color w:val="262626" w:themeColor="text1" w:themeTint="D9"/>
          <w:sz w:val="22"/>
          <w:szCs w:val="22"/>
        </w:rPr>
        <w:t>2005</w:t>
      </w:r>
      <w:r w:rsidRPr="007032E5">
        <w:rPr>
          <w:color w:val="262626" w:themeColor="text1" w:themeTint="D9"/>
          <w:sz w:val="22"/>
          <w:szCs w:val="22"/>
        </w:rPr>
        <w:t xml:space="preserve">  ·</w:t>
      </w:r>
      <w:proofErr w:type="gramEnd"/>
      <w:r w:rsidRPr="007032E5">
        <w:rPr>
          <w:color w:val="262626" w:themeColor="text1" w:themeTint="D9"/>
          <w:sz w:val="22"/>
          <w:szCs w:val="22"/>
        </w:rPr>
        <w:t xml:space="preserve">  Rockville, MD</w:t>
      </w:r>
    </w:p>
    <w:p w14:paraId="067B1626"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Founded and operated litigation practice representing and counseling clients in pre-trial proceedings, settlement conferences, mediation, and trial.</w:t>
      </w:r>
    </w:p>
    <w:p w14:paraId="3B0D5AD0"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Handled matters involving employment discrimination, labor statutes, contract disputes, criminal offenses, and domestic relations.</w:t>
      </w:r>
    </w:p>
    <w:p w14:paraId="0A61C172" w14:textId="77777777" w:rsidR="00151408" w:rsidRPr="007032E5" w:rsidRDefault="00C305AB">
      <w:pPr>
        <w:spacing w:before="200" w:after="20"/>
        <w:rPr>
          <w:sz w:val="22"/>
          <w:szCs w:val="22"/>
        </w:rPr>
      </w:pPr>
      <w:r w:rsidRPr="007032E5">
        <w:rPr>
          <w:b/>
          <w:bCs/>
          <w:sz w:val="22"/>
          <w:szCs w:val="22"/>
        </w:rPr>
        <w:t xml:space="preserve">Holland &amp; Knight </w:t>
      </w:r>
      <w:proofErr w:type="gramStart"/>
      <w:r w:rsidRPr="007032E5">
        <w:rPr>
          <w:b/>
          <w:bCs/>
          <w:sz w:val="22"/>
          <w:szCs w:val="22"/>
        </w:rPr>
        <w:t>LLP</w:t>
      </w:r>
      <w:r w:rsidRPr="007032E5">
        <w:rPr>
          <w:color w:val="999999"/>
          <w:sz w:val="22"/>
          <w:szCs w:val="22"/>
        </w:rPr>
        <w:t xml:space="preserve">  |</w:t>
      </w:r>
      <w:proofErr w:type="gramEnd"/>
      <w:r w:rsidRPr="007032E5">
        <w:rPr>
          <w:color w:val="999999"/>
          <w:sz w:val="22"/>
          <w:szCs w:val="22"/>
        </w:rPr>
        <w:t xml:space="preserve">  </w:t>
      </w:r>
      <w:r w:rsidRPr="007032E5">
        <w:rPr>
          <w:b/>
          <w:bCs/>
          <w:color w:val="2E5FA3"/>
          <w:sz w:val="22"/>
          <w:szCs w:val="22"/>
        </w:rPr>
        <w:t>Litigation Associate</w:t>
      </w:r>
    </w:p>
    <w:p w14:paraId="6346EAC2" w14:textId="77777777" w:rsidR="00151408" w:rsidRPr="007032E5" w:rsidRDefault="00C305AB">
      <w:pPr>
        <w:spacing w:after="80"/>
        <w:rPr>
          <w:color w:val="262626" w:themeColor="text1" w:themeTint="D9"/>
          <w:sz w:val="22"/>
          <w:szCs w:val="22"/>
        </w:rPr>
      </w:pPr>
      <w:r w:rsidRPr="007032E5">
        <w:rPr>
          <w:i/>
          <w:iCs/>
          <w:color w:val="262626" w:themeColor="text1" w:themeTint="D9"/>
          <w:sz w:val="22"/>
          <w:szCs w:val="22"/>
        </w:rPr>
        <w:t xml:space="preserve">September 1999 – May </w:t>
      </w:r>
      <w:proofErr w:type="gramStart"/>
      <w:r w:rsidRPr="007032E5">
        <w:rPr>
          <w:i/>
          <w:iCs/>
          <w:color w:val="262626" w:themeColor="text1" w:themeTint="D9"/>
          <w:sz w:val="22"/>
          <w:szCs w:val="22"/>
        </w:rPr>
        <w:t>2002</w:t>
      </w:r>
      <w:r w:rsidRPr="007032E5">
        <w:rPr>
          <w:color w:val="262626" w:themeColor="text1" w:themeTint="D9"/>
          <w:sz w:val="22"/>
          <w:szCs w:val="22"/>
        </w:rPr>
        <w:t xml:space="preserve">  ·</w:t>
      </w:r>
      <w:proofErr w:type="gramEnd"/>
      <w:r w:rsidRPr="007032E5">
        <w:rPr>
          <w:color w:val="262626" w:themeColor="text1" w:themeTint="D9"/>
          <w:sz w:val="22"/>
          <w:szCs w:val="22"/>
        </w:rPr>
        <w:t xml:space="preserve">  Washington, DC</w:t>
      </w:r>
    </w:p>
    <w:p w14:paraId="32A90518"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Participated in all phases of trial litigation before administrative and judicial tribunals in matters involving patent infringement, employment, labor, contracts, construction, and estate law.</w:t>
      </w:r>
    </w:p>
    <w:p w14:paraId="193543C9"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Counseled clients on litigation strategy; drafted complaints, answers, discovery, motions, briefs, and settlement agreements.</w:t>
      </w:r>
    </w:p>
    <w:p w14:paraId="2B76363C"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Authored legal newsletter articles and co-authored a chapter in a construction law book.</w:t>
      </w:r>
    </w:p>
    <w:p w14:paraId="710B68D2" w14:textId="52A67732" w:rsidR="00151408" w:rsidRPr="007032E5" w:rsidRDefault="00C305AB">
      <w:pPr>
        <w:spacing w:before="200" w:after="20"/>
        <w:rPr>
          <w:sz w:val="22"/>
          <w:szCs w:val="22"/>
        </w:rPr>
      </w:pPr>
      <w:r w:rsidRPr="007032E5">
        <w:rPr>
          <w:b/>
          <w:bCs/>
          <w:sz w:val="22"/>
          <w:szCs w:val="22"/>
        </w:rPr>
        <w:t xml:space="preserve">General Dynamics Electric </w:t>
      </w:r>
      <w:proofErr w:type="gramStart"/>
      <w:r w:rsidRPr="007032E5">
        <w:rPr>
          <w:b/>
          <w:bCs/>
          <w:sz w:val="22"/>
          <w:szCs w:val="22"/>
        </w:rPr>
        <w:t>Boat</w:t>
      </w:r>
      <w:r w:rsidRPr="007032E5">
        <w:rPr>
          <w:color w:val="999999"/>
          <w:sz w:val="22"/>
          <w:szCs w:val="22"/>
        </w:rPr>
        <w:t xml:space="preserve">  |</w:t>
      </w:r>
      <w:proofErr w:type="gramEnd"/>
      <w:r w:rsidRPr="007032E5">
        <w:rPr>
          <w:color w:val="999999"/>
          <w:sz w:val="22"/>
          <w:szCs w:val="22"/>
        </w:rPr>
        <w:t xml:space="preserve">  </w:t>
      </w:r>
      <w:r w:rsidRPr="007032E5">
        <w:rPr>
          <w:b/>
          <w:bCs/>
          <w:color w:val="2E5FA3"/>
          <w:sz w:val="22"/>
          <w:szCs w:val="22"/>
        </w:rPr>
        <w:t>Engineer / Naval Architect</w:t>
      </w:r>
    </w:p>
    <w:p w14:paraId="5DC13600" w14:textId="77777777" w:rsidR="00151408" w:rsidRPr="007032E5" w:rsidRDefault="00C305AB">
      <w:pPr>
        <w:spacing w:after="80"/>
        <w:rPr>
          <w:color w:val="262626" w:themeColor="text1" w:themeTint="D9"/>
          <w:sz w:val="22"/>
          <w:szCs w:val="22"/>
        </w:rPr>
      </w:pPr>
      <w:r w:rsidRPr="007032E5">
        <w:rPr>
          <w:i/>
          <w:iCs/>
          <w:color w:val="262626" w:themeColor="text1" w:themeTint="D9"/>
          <w:sz w:val="22"/>
          <w:szCs w:val="22"/>
        </w:rPr>
        <w:t xml:space="preserve">July 1994 – August </w:t>
      </w:r>
      <w:proofErr w:type="gramStart"/>
      <w:r w:rsidRPr="007032E5">
        <w:rPr>
          <w:i/>
          <w:iCs/>
          <w:color w:val="262626" w:themeColor="text1" w:themeTint="D9"/>
          <w:sz w:val="22"/>
          <w:szCs w:val="22"/>
        </w:rPr>
        <w:t>1996</w:t>
      </w:r>
      <w:r w:rsidRPr="007032E5">
        <w:rPr>
          <w:color w:val="262626" w:themeColor="text1" w:themeTint="D9"/>
          <w:sz w:val="22"/>
          <w:szCs w:val="22"/>
        </w:rPr>
        <w:t xml:space="preserve">  ·</w:t>
      </w:r>
      <w:proofErr w:type="gramEnd"/>
      <w:r w:rsidRPr="007032E5">
        <w:rPr>
          <w:color w:val="262626" w:themeColor="text1" w:themeTint="D9"/>
          <w:sz w:val="22"/>
          <w:szCs w:val="22"/>
        </w:rPr>
        <w:t xml:space="preserve">  Groton, CT</w:t>
      </w:r>
    </w:p>
    <w:p w14:paraId="584185A0"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Managed and performed preliminary, concept, retrofit, and final designs for Virginia, Seawolf, Ohio, and Los Angeles class nuclear submarines, assessing weight, cost, arrangement, naval architecture, and structural impacts.</w:t>
      </w:r>
    </w:p>
    <w:p w14:paraId="64B02CFB"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Oversaw acoustic research and engineering projects integrating acoustic, weight, electrical, and structural disciplines for design-build of Virginia class submarines.</w:t>
      </w:r>
    </w:p>
    <w:p w14:paraId="55BA7B90"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Performed project integration across engineering and technical disciplines including acoustic, mechanical, electrical, and weapons systems.</w:t>
      </w:r>
    </w:p>
    <w:p w14:paraId="6E23301B" w14:textId="77777777" w:rsidR="00151408" w:rsidRPr="007032E5" w:rsidRDefault="00C305AB">
      <w:pPr>
        <w:pBdr>
          <w:bottom w:val="single" w:sz="8" w:space="4" w:color="2E5FA3"/>
        </w:pBdr>
        <w:spacing w:before="280" w:after="80"/>
        <w:rPr>
          <w:sz w:val="24"/>
          <w:szCs w:val="24"/>
        </w:rPr>
      </w:pPr>
      <w:r w:rsidRPr="007032E5">
        <w:rPr>
          <w:b/>
          <w:bCs/>
          <w:color w:val="1F3864"/>
          <w:sz w:val="24"/>
          <w:szCs w:val="24"/>
        </w:rPr>
        <w:t>EDUCATION</w:t>
      </w:r>
    </w:p>
    <w:p w14:paraId="56F9721F" w14:textId="77777777" w:rsidR="00151408" w:rsidRPr="007032E5" w:rsidRDefault="00C305AB">
      <w:pPr>
        <w:spacing w:before="200" w:after="20"/>
        <w:rPr>
          <w:sz w:val="22"/>
          <w:szCs w:val="22"/>
        </w:rPr>
      </w:pPr>
      <w:r w:rsidRPr="007032E5">
        <w:rPr>
          <w:b/>
          <w:bCs/>
          <w:sz w:val="22"/>
          <w:szCs w:val="22"/>
        </w:rPr>
        <w:t xml:space="preserve">Georgetown University Law </w:t>
      </w:r>
      <w:proofErr w:type="gramStart"/>
      <w:r w:rsidRPr="007032E5">
        <w:rPr>
          <w:b/>
          <w:bCs/>
          <w:sz w:val="22"/>
          <w:szCs w:val="22"/>
        </w:rPr>
        <w:t>Center</w:t>
      </w:r>
      <w:r w:rsidRPr="007032E5">
        <w:rPr>
          <w:color w:val="999999"/>
          <w:sz w:val="22"/>
          <w:szCs w:val="22"/>
        </w:rPr>
        <w:t xml:space="preserve">  |</w:t>
      </w:r>
      <w:proofErr w:type="gramEnd"/>
      <w:r w:rsidRPr="007032E5">
        <w:rPr>
          <w:color w:val="999999"/>
          <w:sz w:val="22"/>
          <w:szCs w:val="22"/>
        </w:rPr>
        <w:t xml:space="preserve">  </w:t>
      </w:r>
      <w:r w:rsidRPr="007032E5">
        <w:rPr>
          <w:b/>
          <w:bCs/>
          <w:color w:val="2E5FA3"/>
          <w:sz w:val="22"/>
          <w:szCs w:val="22"/>
        </w:rPr>
        <w:t>Juris Doctor, May 1999</w:t>
      </w:r>
    </w:p>
    <w:p w14:paraId="3A9BE1E9" w14:textId="77777777" w:rsidR="00151408" w:rsidRPr="007032E5" w:rsidRDefault="00C305AB">
      <w:pPr>
        <w:spacing w:after="80"/>
        <w:rPr>
          <w:color w:val="262626" w:themeColor="text1" w:themeTint="D9"/>
          <w:sz w:val="22"/>
          <w:szCs w:val="22"/>
        </w:rPr>
      </w:pPr>
      <w:r w:rsidRPr="007032E5">
        <w:rPr>
          <w:color w:val="262626" w:themeColor="text1" w:themeTint="D9"/>
          <w:sz w:val="22"/>
          <w:szCs w:val="22"/>
        </w:rPr>
        <w:t xml:space="preserve">  </w:t>
      </w:r>
      <w:proofErr w:type="gramStart"/>
      <w:r w:rsidRPr="007032E5">
        <w:rPr>
          <w:color w:val="262626" w:themeColor="text1" w:themeTint="D9"/>
          <w:sz w:val="22"/>
          <w:szCs w:val="22"/>
        </w:rPr>
        <w:t>·  Washington</w:t>
      </w:r>
      <w:proofErr w:type="gramEnd"/>
      <w:r w:rsidRPr="007032E5">
        <w:rPr>
          <w:color w:val="262626" w:themeColor="text1" w:themeTint="D9"/>
          <w:sz w:val="22"/>
          <w:szCs w:val="22"/>
        </w:rPr>
        <w:t>, DC</w:t>
      </w:r>
    </w:p>
    <w:p w14:paraId="09366889"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Member and Coach, Moot Court National Tournament Championship Teams</w:t>
      </w:r>
    </w:p>
    <w:p w14:paraId="07550ECA"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Secretary and Class Delegate, Student Bar Association</w:t>
      </w:r>
    </w:p>
    <w:p w14:paraId="652505A4"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Student Attorney, Criminal Justice Clinic</w:t>
      </w:r>
    </w:p>
    <w:p w14:paraId="58564F80"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Legal Intern, DC Superior Court, Hon. Rafael Diaz</w:t>
      </w:r>
    </w:p>
    <w:p w14:paraId="0234C310" w14:textId="77777777" w:rsidR="00151408" w:rsidRPr="007032E5" w:rsidRDefault="00C305AB" w:rsidP="007032E5">
      <w:pPr>
        <w:keepNext/>
        <w:spacing w:before="200" w:after="20"/>
        <w:rPr>
          <w:sz w:val="22"/>
          <w:szCs w:val="22"/>
        </w:rPr>
      </w:pPr>
      <w:r w:rsidRPr="007032E5">
        <w:rPr>
          <w:b/>
          <w:bCs/>
          <w:sz w:val="22"/>
          <w:szCs w:val="22"/>
        </w:rPr>
        <w:t xml:space="preserve">Webb </w:t>
      </w:r>
      <w:proofErr w:type="gramStart"/>
      <w:r w:rsidRPr="007032E5">
        <w:rPr>
          <w:b/>
          <w:bCs/>
          <w:sz w:val="22"/>
          <w:szCs w:val="22"/>
        </w:rPr>
        <w:t>Institute</w:t>
      </w:r>
      <w:r w:rsidRPr="007032E5">
        <w:rPr>
          <w:color w:val="999999"/>
          <w:sz w:val="22"/>
          <w:szCs w:val="22"/>
        </w:rPr>
        <w:t xml:space="preserve">  |</w:t>
      </w:r>
      <w:proofErr w:type="gramEnd"/>
      <w:r w:rsidRPr="007032E5">
        <w:rPr>
          <w:color w:val="999999"/>
          <w:sz w:val="22"/>
          <w:szCs w:val="22"/>
        </w:rPr>
        <w:t xml:space="preserve">  </w:t>
      </w:r>
      <w:r w:rsidRPr="007032E5">
        <w:rPr>
          <w:b/>
          <w:bCs/>
          <w:color w:val="2E5FA3"/>
          <w:sz w:val="22"/>
          <w:szCs w:val="22"/>
        </w:rPr>
        <w:t>Bachelor of Science, Naval Architecture &amp; Marine Engineering, June 1994</w:t>
      </w:r>
    </w:p>
    <w:p w14:paraId="3D2BDCF5" w14:textId="77777777" w:rsidR="00151408" w:rsidRPr="007032E5" w:rsidRDefault="00C305AB" w:rsidP="007032E5">
      <w:pPr>
        <w:keepNext/>
        <w:spacing w:after="80"/>
        <w:rPr>
          <w:color w:val="262626" w:themeColor="text1" w:themeTint="D9"/>
          <w:sz w:val="22"/>
          <w:szCs w:val="22"/>
        </w:rPr>
      </w:pPr>
      <w:r w:rsidRPr="007032E5">
        <w:rPr>
          <w:color w:val="262626" w:themeColor="text1" w:themeTint="D9"/>
          <w:sz w:val="22"/>
          <w:szCs w:val="22"/>
        </w:rPr>
        <w:t xml:space="preserve">  </w:t>
      </w:r>
      <w:proofErr w:type="gramStart"/>
      <w:r w:rsidRPr="007032E5">
        <w:rPr>
          <w:color w:val="262626" w:themeColor="text1" w:themeTint="D9"/>
          <w:sz w:val="22"/>
          <w:szCs w:val="22"/>
        </w:rPr>
        <w:t>·  Glen</w:t>
      </w:r>
      <w:proofErr w:type="gramEnd"/>
      <w:r w:rsidRPr="007032E5">
        <w:rPr>
          <w:color w:val="262626" w:themeColor="text1" w:themeTint="D9"/>
          <w:sz w:val="22"/>
          <w:szCs w:val="22"/>
        </w:rPr>
        <w:t xml:space="preserve"> Cove, NY</w:t>
      </w:r>
    </w:p>
    <w:p w14:paraId="56C879EC" w14:textId="77777777"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t>One of the most selective engineering programs in the United States; approximately 25 students per class, all on full scholarship; double major requiring approximately 150 credits.</w:t>
      </w:r>
    </w:p>
    <w:p w14:paraId="63FA382F" w14:textId="282C6F85" w:rsidR="00151408" w:rsidRPr="007032E5" w:rsidRDefault="00C305AB">
      <w:pPr>
        <w:pStyle w:val="ListParagraph"/>
        <w:numPr>
          <w:ilvl w:val="0"/>
          <w:numId w:val="2"/>
        </w:numPr>
        <w:spacing w:before="40" w:after="40"/>
        <w:rPr>
          <w:color w:val="262626" w:themeColor="text1" w:themeTint="D9"/>
          <w:sz w:val="22"/>
          <w:szCs w:val="22"/>
        </w:rPr>
      </w:pPr>
      <w:r w:rsidRPr="007032E5">
        <w:rPr>
          <w:color w:val="262626" w:themeColor="text1" w:themeTint="D9"/>
          <w:sz w:val="22"/>
          <w:szCs w:val="22"/>
        </w:rPr>
        <w:lastRenderedPageBreak/>
        <w:t xml:space="preserve">Internships: Engineering Planner, General Dynamics NASSCO; Associate Engineer/Naval Architect, Exxon, Elliot Bay Design Group, </w:t>
      </w:r>
      <w:proofErr w:type="spellStart"/>
      <w:r w:rsidRPr="007032E5">
        <w:rPr>
          <w:color w:val="262626" w:themeColor="text1" w:themeTint="D9"/>
          <w:sz w:val="22"/>
          <w:szCs w:val="22"/>
        </w:rPr>
        <w:t>Vibtech</w:t>
      </w:r>
      <w:proofErr w:type="spellEnd"/>
      <w:r w:rsidRPr="007032E5">
        <w:rPr>
          <w:color w:val="262626" w:themeColor="text1" w:themeTint="D9"/>
          <w:sz w:val="22"/>
          <w:szCs w:val="22"/>
        </w:rPr>
        <w:t xml:space="preserve"> Inc.; Engine &amp; Deck Cadet, SS Mayaguez; Shipfitter/Pipefitter, U.S. Coast Guard Yard.</w:t>
      </w:r>
    </w:p>
    <w:p w14:paraId="114A6108" w14:textId="77777777" w:rsidR="00151408" w:rsidRPr="007032E5" w:rsidRDefault="00C305AB">
      <w:pPr>
        <w:pBdr>
          <w:bottom w:val="single" w:sz="8" w:space="4" w:color="2E5FA3"/>
        </w:pBdr>
        <w:spacing w:before="280" w:after="80"/>
        <w:rPr>
          <w:sz w:val="24"/>
          <w:szCs w:val="24"/>
        </w:rPr>
      </w:pPr>
      <w:r w:rsidRPr="007032E5">
        <w:rPr>
          <w:b/>
          <w:bCs/>
          <w:color w:val="1F3864"/>
          <w:sz w:val="24"/>
          <w:szCs w:val="24"/>
        </w:rPr>
        <w:t>PROFESSIONAL ADMISSIONS</w:t>
      </w:r>
    </w:p>
    <w:p w14:paraId="6D793058" w14:textId="77777777" w:rsidR="00151408" w:rsidRPr="007032E5" w:rsidRDefault="00C305AB">
      <w:pPr>
        <w:spacing w:before="80" w:after="80"/>
        <w:rPr>
          <w:sz w:val="22"/>
          <w:szCs w:val="22"/>
        </w:rPr>
      </w:pPr>
      <w:r w:rsidRPr="007032E5">
        <w:rPr>
          <w:color w:val="444444"/>
          <w:sz w:val="22"/>
          <w:szCs w:val="22"/>
        </w:rPr>
        <w:t xml:space="preserve">USPTO Patent </w:t>
      </w:r>
      <w:proofErr w:type="gramStart"/>
      <w:r w:rsidRPr="007032E5">
        <w:rPr>
          <w:color w:val="444444"/>
          <w:sz w:val="22"/>
          <w:szCs w:val="22"/>
        </w:rPr>
        <w:t>Bar  ·</w:t>
      </w:r>
      <w:proofErr w:type="gramEnd"/>
      <w:r w:rsidRPr="007032E5">
        <w:rPr>
          <w:color w:val="444444"/>
          <w:sz w:val="22"/>
          <w:szCs w:val="22"/>
        </w:rPr>
        <w:t xml:space="preserve">  District of Columbia </w:t>
      </w:r>
      <w:proofErr w:type="gramStart"/>
      <w:r w:rsidRPr="007032E5">
        <w:rPr>
          <w:color w:val="444444"/>
          <w:sz w:val="22"/>
          <w:szCs w:val="22"/>
        </w:rPr>
        <w:t>Bar  ·</w:t>
      </w:r>
      <w:proofErr w:type="gramEnd"/>
      <w:r w:rsidRPr="007032E5">
        <w:rPr>
          <w:color w:val="444444"/>
          <w:sz w:val="22"/>
          <w:szCs w:val="22"/>
        </w:rPr>
        <w:t xml:space="preserve">  Maryland Bar</w:t>
      </w:r>
    </w:p>
    <w:p w14:paraId="5D4081E6" w14:textId="77777777" w:rsidR="00151408" w:rsidRPr="007032E5" w:rsidRDefault="00C305AB">
      <w:pPr>
        <w:pBdr>
          <w:bottom w:val="single" w:sz="8" w:space="4" w:color="2E5FA3"/>
        </w:pBdr>
        <w:spacing w:before="280" w:after="80"/>
        <w:rPr>
          <w:sz w:val="24"/>
          <w:szCs w:val="24"/>
        </w:rPr>
      </w:pPr>
      <w:r w:rsidRPr="007032E5">
        <w:rPr>
          <w:b/>
          <w:bCs/>
          <w:color w:val="1F3864"/>
          <w:sz w:val="24"/>
          <w:szCs w:val="24"/>
        </w:rPr>
        <w:t>AWARDS &amp; RECOGNITION</w:t>
      </w:r>
    </w:p>
    <w:p w14:paraId="0EC43DFB" w14:textId="77777777" w:rsidR="00151408" w:rsidRPr="007032E5" w:rsidRDefault="00C305AB">
      <w:pPr>
        <w:pStyle w:val="ListParagraph"/>
        <w:numPr>
          <w:ilvl w:val="0"/>
          <w:numId w:val="2"/>
        </w:numPr>
        <w:spacing w:before="40" w:after="40"/>
        <w:rPr>
          <w:sz w:val="22"/>
          <w:szCs w:val="22"/>
        </w:rPr>
      </w:pPr>
      <w:r w:rsidRPr="007032E5">
        <w:rPr>
          <w:color w:val="444444"/>
          <w:sz w:val="22"/>
          <w:szCs w:val="22"/>
        </w:rPr>
        <w:t>USPTO Director's Award — PTAB Inventor Outreach Committee</w:t>
      </w:r>
    </w:p>
    <w:p w14:paraId="198A8F77" w14:textId="77777777" w:rsidR="00151408" w:rsidRPr="007032E5" w:rsidRDefault="00C305AB">
      <w:pPr>
        <w:pStyle w:val="ListParagraph"/>
        <w:numPr>
          <w:ilvl w:val="0"/>
          <w:numId w:val="2"/>
        </w:numPr>
        <w:spacing w:before="40" w:after="40"/>
        <w:rPr>
          <w:sz w:val="22"/>
          <w:szCs w:val="22"/>
        </w:rPr>
      </w:pPr>
      <w:r w:rsidRPr="007032E5">
        <w:rPr>
          <w:color w:val="444444"/>
          <w:sz w:val="22"/>
          <w:szCs w:val="22"/>
        </w:rPr>
        <w:t>USPTO Special Act Awards for Leadership — 2023 &amp; 2024</w:t>
      </w:r>
    </w:p>
    <w:p w14:paraId="73AE946E" w14:textId="77777777" w:rsidR="00151408" w:rsidRPr="007032E5" w:rsidRDefault="00C305AB">
      <w:pPr>
        <w:pStyle w:val="ListParagraph"/>
        <w:numPr>
          <w:ilvl w:val="0"/>
          <w:numId w:val="2"/>
        </w:numPr>
        <w:spacing w:before="40" w:after="40"/>
        <w:rPr>
          <w:sz w:val="22"/>
          <w:szCs w:val="22"/>
        </w:rPr>
      </w:pPr>
      <w:r w:rsidRPr="007032E5">
        <w:rPr>
          <w:color w:val="444444"/>
          <w:sz w:val="22"/>
          <w:szCs w:val="22"/>
        </w:rPr>
        <w:t>USPTO Bronze Medal Award for Superior Federal Performance</w:t>
      </w:r>
    </w:p>
    <w:p w14:paraId="0B8135C0" w14:textId="77777777" w:rsidR="00151408" w:rsidRPr="007032E5" w:rsidRDefault="00C305AB">
      <w:pPr>
        <w:pStyle w:val="ListParagraph"/>
        <w:numPr>
          <w:ilvl w:val="0"/>
          <w:numId w:val="2"/>
        </w:numPr>
        <w:spacing w:before="40" w:after="40"/>
        <w:rPr>
          <w:sz w:val="22"/>
          <w:szCs w:val="22"/>
        </w:rPr>
      </w:pPr>
      <w:r w:rsidRPr="007032E5">
        <w:rPr>
          <w:color w:val="444444"/>
          <w:sz w:val="22"/>
          <w:szCs w:val="22"/>
        </w:rPr>
        <w:t>USPTO Outstanding Performance Ratings — 2020, 2022, 2023, 2024</w:t>
      </w:r>
    </w:p>
    <w:p w14:paraId="76F7CEE7" w14:textId="77777777" w:rsidR="00151408" w:rsidRPr="007032E5" w:rsidRDefault="00C305AB">
      <w:pPr>
        <w:pBdr>
          <w:bottom w:val="single" w:sz="8" w:space="4" w:color="2E5FA3"/>
        </w:pBdr>
        <w:spacing w:before="280" w:after="80"/>
        <w:rPr>
          <w:sz w:val="22"/>
          <w:szCs w:val="22"/>
        </w:rPr>
      </w:pPr>
      <w:r w:rsidRPr="007032E5">
        <w:rPr>
          <w:b/>
          <w:bCs/>
          <w:color w:val="1F3864"/>
          <w:sz w:val="22"/>
          <w:szCs w:val="22"/>
        </w:rPr>
        <w:t>AREAS OF EXPERTISE</w:t>
      </w:r>
    </w:p>
    <w:p w14:paraId="1BC9710D" w14:textId="77777777" w:rsidR="00151408" w:rsidRPr="007032E5" w:rsidRDefault="00C305AB">
      <w:pPr>
        <w:spacing w:before="60" w:after="60"/>
        <w:rPr>
          <w:sz w:val="22"/>
          <w:szCs w:val="22"/>
        </w:rPr>
      </w:pPr>
      <w:r w:rsidRPr="007032E5">
        <w:rPr>
          <w:b/>
          <w:bCs/>
          <w:sz w:val="22"/>
          <w:szCs w:val="22"/>
        </w:rPr>
        <w:t xml:space="preserve">Patent Law &amp; Procedure: </w:t>
      </w:r>
      <w:r w:rsidRPr="007032E5">
        <w:rPr>
          <w:color w:val="444444"/>
          <w:sz w:val="22"/>
          <w:szCs w:val="22"/>
        </w:rPr>
        <w:t>Inter Partes Review (</w:t>
      </w:r>
      <w:proofErr w:type="gramStart"/>
      <w:r w:rsidRPr="007032E5">
        <w:rPr>
          <w:color w:val="444444"/>
          <w:sz w:val="22"/>
          <w:szCs w:val="22"/>
        </w:rPr>
        <w:t>IPR)  ·</w:t>
      </w:r>
      <w:proofErr w:type="gramEnd"/>
      <w:r w:rsidRPr="007032E5">
        <w:rPr>
          <w:color w:val="444444"/>
          <w:sz w:val="22"/>
          <w:szCs w:val="22"/>
        </w:rPr>
        <w:t xml:space="preserve">  Ex </w:t>
      </w:r>
      <w:proofErr w:type="spellStart"/>
      <w:r w:rsidRPr="007032E5">
        <w:rPr>
          <w:color w:val="444444"/>
          <w:sz w:val="22"/>
          <w:szCs w:val="22"/>
        </w:rPr>
        <w:t>Parte</w:t>
      </w:r>
      <w:proofErr w:type="spellEnd"/>
      <w:r w:rsidRPr="007032E5">
        <w:rPr>
          <w:color w:val="444444"/>
          <w:sz w:val="22"/>
          <w:szCs w:val="22"/>
        </w:rPr>
        <w:t xml:space="preserve"> </w:t>
      </w:r>
      <w:proofErr w:type="gramStart"/>
      <w:r w:rsidRPr="007032E5">
        <w:rPr>
          <w:color w:val="444444"/>
          <w:sz w:val="22"/>
          <w:szCs w:val="22"/>
        </w:rPr>
        <w:t>Appeals  ·</w:t>
      </w:r>
      <w:proofErr w:type="gramEnd"/>
      <w:r w:rsidRPr="007032E5">
        <w:rPr>
          <w:color w:val="444444"/>
          <w:sz w:val="22"/>
          <w:szCs w:val="22"/>
        </w:rPr>
        <w:t xml:space="preserve">  Patent Eligible Subject Matter (§101</w:t>
      </w:r>
      <w:proofErr w:type="gramStart"/>
      <w:r w:rsidRPr="007032E5">
        <w:rPr>
          <w:color w:val="444444"/>
          <w:sz w:val="22"/>
          <w:szCs w:val="22"/>
        </w:rPr>
        <w:t>)  ·</w:t>
      </w:r>
      <w:proofErr w:type="gramEnd"/>
      <w:r w:rsidRPr="007032E5">
        <w:rPr>
          <w:color w:val="444444"/>
          <w:sz w:val="22"/>
          <w:szCs w:val="22"/>
        </w:rPr>
        <w:t xml:space="preserve">  Patent Validity &amp; </w:t>
      </w:r>
      <w:proofErr w:type="gramStart"/>
      <w:r w:rsidRPr="007032E5">
        <w:rPr>
          <w:color w:val="444444"/>
          <w:sz w:val="22"/>
          <w:szCs w:val="22"/>
        </w:rPr>
        <w:t>Invalidity  ·</w:t>
      </w:r>
      <w:proofErr w:type="gramEnd"/>
      <w:r w:rsidRPr="007032E5">
        <w:rPr>
          <w:color w:val="444444"/>
          <w:sz w:val="22"/>
          <w:szCs w:val="22"/>
        </w:rPr>
        <w:t xml:space="preserve">  Claim </w:t>
      </w:r>
      <w:proofErr w:type="gramStart"/>
      <w:r w:rsidRPr="007032E5">
        <w:rPr>
          <w:color w:val="444444"/>
          <w:sz w:val="22"/>
          <w:szCs w:val="22"/>
        </w:rPr>
        <w:t>Construction  ·</w:t>
      </w:r>
      <w:proofErr w:type="gramEnd"/>
      <w:r w:rsidRPr="007032E5">
        <w:rPr>
          <w:color w:val="444444"/>
          <w:sz w:val="22"/>
          <w:szCs w:val="22"/>
        </w:rPr>
        <w:t xml:space="preserve">  Obviousness (§103</w:t>
      </w:r>
      <w:proofErr w:type="gramStart"/>
      <w:r w:rsidRPr="007032E5">
        <w:rPr>
          <w:color w:val="444444"/>
          <w:sz w:val="22"/>
          <w:szCs w:val="22"/>
        </w:rPr>
        <w:t>)  ·</w:t>
      </w:r>
      <w:proofErr w:type="gramEnd"/>
      <w:r w:rsidRPr="007032E5">
        <w:rPr>
          <w:color w:val="444444"/>
          <w:sz w:val="22"/>
          <w:szCs w:val="22"/>
        </w:rPr>
        <w:t xml:space="preserve">  Prior Art </w:t>
      </w:r>
      <w:proofErr w:type="gramStart"/>
      <w:r w:rsidRPr="007032E5">
        <w:rPr>
          <w:color w:val="444444"/>
          <w:sz w:val="22"/>
          <w:szCs w:val="22"/>
        </w:rPr>
        <w:t>Analysis  ·</w:t>
      </w:r>
      <w:proofErr w:type="gramEnd"/>
      <w:r w:rsidRPr="007032E5">
        <w:rPr>
          <w:color w:val="444444"/>
          <w:sz w:val="22"/>
          <w:szCs w:val="22"/>
        </w:rPr>
        <w:t xml:space="preserve">  Prosecution History </w:t>
      </w:r>
      <w:proofErr w:type="gramStart"/>
      <w:r w:rsidRPr="007032E5">
        <w:rPr>
          <w:color w:val="444444"/>
          <w:sz w:val="22"/>
          <w:szCs w:val="22"/>
        </w:rPr>
        <w:t>Estoppel  ·</w:t>
      </w:r>
      <w:proofErr w:type="gramEnd"/>
      <w:r w:rsidRPr="007032E5">
        <w:rPr>
          <w:color w:val="444444"/>
          <w:sz w:val="22"/>
          <w:szCs w:val="22"/>
        </w:rPr>
        <w:t xml:space="preserve">  Post-Grant </w:t>
      </w:r>
      <w:proofErr w:type="gramStart"/>
      <w:r w:rsidRPr="007032E5">
        <w:rPr>
          <w:color w:val="444444"/>
          <w:sz w:val="22"/>
          <w:szCs w:val="22"/>
        </w:rPr>
        <w:t>Proceedings  ·</w:t>
      </w:r>
      <w:proofErr w:type="gramEnd"/>
      <w:r w:rsidRPr="007032E5">
        <w:rPr>
          <w:color w:val="444444"/>
          <w:sz w:val="22"/>
          <w:szCs w:val="22"/>
        </w:rPr>
        <w:t xml:space="preserve">  PTAB Procedure &amp; </w:t>
      </w:r>
      <w:proofErr w:type="gramStart"/>
      <w:r w:rsidRPr="007032E5">
        <w:rPr>
          <w:color w:val="444444"/>
          <w:sz w:val="22"/>
          <w:szCs w:val="22"/>
        </w:rPr>
        <w:t>Strategy  ·</w:t>
      </w:r>
      <w:proofErr w:type="gramEnd"/>
      <w:r w:rsidRPr="007032E5">
        <w:rPr>
          <w:color w:val="444444"/>
          <w:sz w:val="22"/>
          <w:szCs w:val="22"/>
        </w:rPr>
        <w:t xml:space="preserve">  Patent Portfolio </w:t>
      </w:r>
      <w:proofErr w:type="gramStart"/>
      <w:r w:rsidRPr="007032E5">
        <w:rPr>
          <w:color w:val="444444"/>
          <w:sz w:val="22"/>
          <w:szCs w:val="22"/>
        </w:rPr>
        <w:t>Analysis  ·</w:t>
      </w:r>
      <w:proofErr w:type="gramEnd"/>
      <w:r w:rsidRPr="007032E5">
        <w:rPr>
          <w:color w:val="444444"/>
          <w:sz w:val="22"/>
          <w:szCs w:val="22"/>
        </w:rPr>
        <w:t xml:space="preserve">  Patent Classification (USPC &amp; CPC)</w:t>
      </w:r>
    </w:p>
    <w:p w14:paraId="1A02C03D" w14:textId="77777777" w:rsidR="00151408" w:rsidRPr="007032E5" w:rsidRDefault="00C305AB">
      <w:pPr>
        <w:spacing w:before="60" w:after="60"/>
        <w:rPr>
          <w:sz w:val="22"/>
          <w:szCs w:val="22"/>
        </w:rPr>
      </w:pPr>
      <w:r w:rsidRPr="007032E5">
        <w:rPr>
          <w:b/>
          <w:bCs/>
          <w:sz w:val="22"/>
          <w:szCs w:val="22"/>
        </w:rPr>
        <w:t xml:space="preserve">Technical Disciplines: </w:t>
      </w:r>
      <w:r w:rsidRPr="007032E5">
        <w:rPr>
          <w:color w:val="444444"/>
          <w:sz w:val="22"/>
          <w:szCs w:val="22"/>
        </w:rPr>
        <w:t xml:space="preserve">Software &amp; Business </w:t>
      </w:r>
      <w:proofErr w:type="gramStart"/>
      <w:r w:rsidRPr="007032E5">
        <w:rPr>
          <w:color w:val="444444"/>
          <w:sz w:val="22"/>
          <w:szCs w:val="22"/>
        </w:rPr>
        <w:t>Methods  ·</w:t>
      </w:r>
      <w:proofErr w:type="gramEnd"/>
      <w:r w:rsidRPr="007032E5">
        <w:rPr>
          <w:color w:val="444444"/>
          <w:sz w:val="22"/>
          <w:szCs w:val="22"/>
        </w:rPr>
        <w:t xml:space="preserve">  Artificial Intelligence &amp; Data </w:t>
      </w:r>
      <w:proofErr w:type="gramStart"/>
      <w:r w:rsidRPr="007032E5">
        <w:rPr>
          <w:color w:val="444444"/>
          <w:sz w:val="22"/>
          <w:szCs w:val="22"/>
        </w:rPr>
        <w:t>Processing  ·</w:t>
      </w:r>
      <w:proofErr w:type="gramEnd"/>
      <w:r w:rsidRPr="007032E5">
        <w:rPr>
          <w:color w:val="444444"/>
          <w:sz w:val="22"/>
          <w:szCs w:val="22"/>
        </w:rPr>
        <w:t xml:space="preserve">  Graphical User </w:t>
      </w:r>
      <w:proofErr w:type="gramStart"/>
      <w:r w:rsidRPr="007032E5">
        <w:rPr>
          <w:color w:val="444444"/>
          <w:sz w:val="22"/>
          <w:szCs w:val="22"/>
        </w:rPr>
        <w:t>Interfaces  ·</w:t>
      </w:r>
      <w:proofErr w:type="gramEnd"/>
      <w:r w:rsidRPr="007032E5">
        <w:rPr>
          <w:color w:val="444444"/>
          <w:sz w:val="22"/>
          <w:szCs w:val="22"/>
        </w:rPr>
        <w:t xml:space="preserve">  Computer Systems &amp; </w:t>
      </w:r>
      <w:proofErr w:type="gramStart"/>
      <w:r w:rsidRPr="007032E5">
        <w:rPr>
          <w:color w:val="444444"/>
          <w:sz w:val="22"/>
          <w:szCs w:val="22"/>
        </w:rPr>
        <w:t>Semiconductors  ·</w:t>
      </w:r>
      <w:proofErr w:type="gramEnd"/>
      <w:r w:rsidRPr="007032E5">
        <w:rPr>
          <w:color w:val="444444"/>
          <w:sz w:val="22"/>
          <w:szCs w:val="22"/>
        </w:rPr>
        <w:t xml:space="preserve">  Medical Devices &amp; </w:t>
      </w:r>
      <w:proofErr w:type="gramStart"/>
      <w:r w:rsidRPr="007032E5">
        <w:rPr>
          <w:color w:val="444444"/>
          <w:sz w:val="22"/>
          <w:szCs w:val="22"/>
        </w:rPr>
        <w:t>Technology  ·</w:t>
      </w:r>
      <w:proofErr w:type="gramEnd"/>
      <w:r w:rsidRPr="007032E5">
        <w:rPr>
          <w:color w:val="444444"/>
          <w:sz w:val="22"/>
          <w:szCs w:val="22"/>
        </w:rPr>
        <w:t xml:space="preserve">  Mechanical Systems &amp; </w:t>
      </w:r>
      <w:proofErr w:type="gramStart"/>
      <w:r w:rsidRPr="007032E5">
        <w:rPr>
          <w:color w:val="444444"/>
          <w:sz w:val="22"/>
          <w:szCs w:val="22"/>
        </w:rPr>
        <w:t>Structures  ·</w:t>
      </w:r>
      <w:proofErr w:type="gramEnd"/>
      <w:r w:rsidRPr="007032E5">
        <w:rPr>
          <w:color w:val="444444"/>
          <w:sz w:val="22"/>
          <w:szCs w:val="22"/>
        </w:rPr>
        <w:t xml:space="preserve">  Electrical </w:t>
      </w:r>
      <w:proofErr w:type="gramStart"/>
      <w:r w:rsidRPr="007032E5">
        <w:rPr>
          <w:color w:val="444444"/>
          <w:sz w:val="22"/>
          <w:szCs w:val="22"/>
        </w:rPr>
        <w:t>Systems  ·</w:t>
      </w:r>
      <w:proofErr w:type="gramEnd"/>
      <w:r w:rsidRPr="007032E5">
        <w:rPr>
          <w:color w:val="444444"/>
          <w:sz w:val="22"/>
          <w:szCs w:val="22"/>
        </w:rPr>
        <w:t xml:space="preserve">  Naval Architecture &amp; Marine </w:t>
      </w:r>
      <w:proofErr w:type="gramStart"/>
      <w:r w:rsidRPr="007032E5">
        <w:rPr>
          <w:color w:val="444444"/>
          <w:sz w:val="22"/>
          <w:szCs w:val="22"/>
        </w:rPr>
        <w:t>Engineering  ·</w:t>
      </w:r>
      <w:proofErr w:type="gramEnd"/>
      <w:r w:rsidRPr="007032E5">
        <w:rPr>
          <w:color w:val="444444"/>
          <w:sz w:val="22"/>
          <w:szCs w:val="22"/>
        </w:rPr>
        <w:t xml:space="preserve">  Nuclear Submarine Design &amp; Systems Integration</w:t>
      </w:r>
    </w:p>
    <w:sectPr w:rsidR="00151408" w:rsidRPr="007032E5">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6523A0"/>
    <w:multiLevelType w:val="hybridMultilevel"/>
    <w:tmpl w:val="D990FE58"/>
    <w:lvl w:ilvl="0" w:tplc="00087E7C">
      <w:start w:val="1"/>
      <w:numFmt w:val="bullet"/>
      <w:lvlText w:val="●"/>
      <w:lvlJc w:val="left"/>
      <w:pPr>
        <w:ind w:left="720" w:hanging="360"/>
      </w:pPr>
    </w:lvl>
    <w:lvl w:ilvl="1" w:tplc="E62A90F2">
      <w:start w:val="1"/>
      <w:numFmt w:val="bullet"/>
      <w:lvlText w:val="○"/>
      <w:lvlJc w:val="left"/>
      <w:pPr>
        <w:ind w:left="1440" w:hanging="360"/>
      </w:pPr>
    </w:lvl>
    <w:lvl w:ilvl="2" w:tplc="0AE8BE6C">
      <w:start w:val="1"/>
      <w:numFmt w:val="bullet"/>
      <w:lvlText w:val="■"/>
      <w:lvlJc w:val="left"/>
      <w:pPr>
        <w:ind w:left="2160" w:hanging="360"/>
      </w:pPr>
    </w:lvl>
    <w:lvl w:ilvl="3" w:tplc="C9B00A90">
      <w:start w:val="1"/>
      <w:numFmt w:val="bullet"/>
      <w:lvlText w:val="●"/>
      <w:lvlJc w:val="left"/>
      <w:pPr>
        <w:ind w:left="2880" w:hanging="360"/>
      </w:pPr>
    </w:lvl>
    <w:lvl w:ilvl="4" w:tplc="936E67D8">
      <w:start w:val="1"/>
      <w:numFmt w:val="bullet"/>
      <w:lvlText w:val="○"/>
      <w:lvlJc w:val="left"/>
      <w:pPr>
        <w:ind w:left="3600" w:hanging="360"/>
      </w:pPr>
    </w:lvl>
    <w:lvl w:ilvl="5" w:tplc="5D28595E">
      <w:start w:val="1"/>
      <w:numFmt w:val="bullet"/>
      <w:lvlText w:val="■"/>
      <w:lvlJc w:val="left"/>
      <w:pPr>
        <w:ind w:left="4320" w:hanging="360"/>
      </w:pPr>
    </w:lvl>
    <w:lvl w:ilvl="6" w:tplc="CF6030B8">
      <w:start w:val="1"/>
      <w:numFmt w:val="bullet"/>
      <w:lvlText w:val="●"/>
      <w:lvlJc w:val="left"/>
      <w:pPr>
        <w:ind w:left="5040" w:hanging="360"/>
      </w:pPr>
    </w:lvl>
    <w:lvl w:ilvl="7" w:tplc="64B03A24">
      <w:start w:val="1"/>
      <w:numFmt w:val="bullet"/>
      <w:lvlText w:val="●"/>
      <w:lvlJc w:val="left"/>
      <w:pPr>
        <w:ind w:left="5760" w:hanging="360"/>
      </w:pPr>
    </w:lvl>
    <w:lvl w:ilvl="8" w:tplc="0A3E5D42">
      <w:start w:val="1"/>
      <w:numFmt w:val="bullet"/>
      <w:lvlText w:val="●"/>
      <w:lvlJc w:val="left"/>
      <w:pPr>
        <w:ind w:left="6480" w:hanging="360"/>
      </w:pPr>
    </w:lvl>
  </w:abstractNum>
  <w:abstractNum w:abstractNumId="1" w15:restartNumberingAfterBreak="0">
    <w:nsid w:val="5A2A3428"/>
    <w:multiLevelType w:val="hybridMultilevel"/>
    <w:tmpl w:val="4DA8BCE8"/>
    <w:lvl w:ilvl="0" w:tplc="8B8618AE">
      <w:start w:val="1"/>
      <w:numFmt w:val="bullet"/>
      <w:lvlText w:val="•"/>
      <w:lvlJc w:val="left"/>
      <w:pPr>
        <w:ind w:left="480" w:hanging="240"/>
      </w:pPr>
    </w:lvl>
    <w:lvl w:ilvl="1" w:tplc="3D1A9654">
      <w:numFmt w:val="decimal"/>
      <w:lvlText w:val=""/>
      <w:lvlJc w:val="left"/>
    </w:lvl>
    <w:lvl w:ilvl="2" w:tplc="BC3869E2">
      <w:numFmt w:val="decimal"/>
      <w:lvlText w:val=""/>
      <w:lvlJc w:val="left"/>
    </w:lvl>
    <w:lvl w:ilvl="3" w:tplc="5C5A5C50">
      <w:numFmt w:val="decimal"/>
      <w:lvlText w:val=""/>
      <w:lvlJc w:val="left"/>
    </w:lvl>
    <w:lvl w:ilvl="4" w:tplc="FD36C754">
      <w:numFmt w:val="decimal"/>
      <w:lvlText w:val=""/>
      <w:lvlJc w:val="left"/>
    </w:lvl>
    <w:lvl w:ilvl="5" w:tplc="5726B3A4">
      <w:numFmt w:val="decimal"/>
      <w:lvlText w:val=""/>
      <w:lvlJc w:val="left"/>
    </w:lvl>
    <w:lvl w:ilvl="6" w:tplc="41A6E82A">
      <w:numFmt w:val="decimal"/>
      <w:lvlText w:val=""/>
      <w:lvlJc w:val="left"/>
    </w:lvl>
    <w:lvl w:ilvl="7" w:tplc="18AA7F72">
      <w:numFmt w:val="decimal"/>
      <w:lvlText w:val=""/>
      <w:lvlJc w:val="left"/>
    </w:lvl>
    <w:lvl w:ilvl="8" w:tplc="A85C69DA">
      <w:numFmt w:val="decimal"/>
      <w:lvlText w:val=""/>
      <w:lvlJc w:val="left"/>
    </w:lvl>
  </w:abstractNum>
  <w:num w:numId="1" w16cid:durableId="1349867591">
    <w:abstractNumId w:val="0"/>
    <w:lvlOverride w:ilvl="0">
      <w:startOverride w:val="1"/>
    </w:lvlOverride>
  </w:num>
  <w:num w:numId="2" w16cid:durableId="1514874398">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08"/>
    <w:rsid w:val="00151408"/>
    <w:rsid w:val="00386E65"/>
    <w:rsid w:val="007032E5"/>
    <w:rsid w:val="00A813E4"/>
    <w:rsid w:val="00C305AB"/>
    <w:rsid w:val="00CA3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D76269"/>
  <w15:docId w15:val="{2E51B593-5143-B14C-9F2A-9DA8A87D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1A1A1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5856</Characters>
  <Application>Microsoft Office Word</Application>
  <DocSecurity>0</DocSecurity>
  <Lines>104</Lines>
  <Paragraphs>72</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Amee Shah</cp:lastModifiedBy>
  <cp:revision>3</cp:revision>
  <dcterms:created xsi:type="dcterms:W3CDTF">2026-06-05T13:58:00Z</dcterms:created>
  <dcterms:modified xsi:type="dcterms:W3CDTF">2026-07-14T14:59:00Z</dcterms:modified>
</cp:coreProperties>
</file>