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3FC6" w14:textId="77777777" w:rsidR="003A2A6D" w:rsidRDefault="00B958F2">
      <w:pPr>
        <w:spacing w:after="422" w:line="259" w:lineRule="auto"/>
        <w:ind w:left="54" w:firstLine="0"/>
        <w:jc w:val="center"/>
      </w:pPr>
      <w:r>
        <w:rPr>
          <w:noProof/>
        </w:rPr>
        <w:drawing>
          <wp:anchor distT="0" distB="0" distL="114300" distR="114300" simplePos="0" relativeHeight="251658240" behindDoc="0" locked="0" layoutInCell="1" allowOverlap="0" wp14:anchorId="344232DF" wp14:editId="6AA66868">
            <wp:simplePos x="0" y="0"/>
            <wp:positionH relativeFrom="column">
              <wp:posOffset>0</wp:posOffset>
            </wp:positionH>
            <wp:positionV relativeFrom="paragraph">
              <wp:posOffset>-25053</wp:posOffset>
            </wp:positionV>
            <wp:extent cx="2362200" cy="3455670"/>
            <wp:effectExtent l="0" t="0" r="0" b="0"/>
            <wp:wrapSquare wrapText="bothSides"/>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5"/>
                    <a:stretch>
                      <a:fillRect/>
                    </a:stretch>
                  </pic:blipFill>
                  <pic:spPr>
                    <a:xfrm>
                      <a:off x="0" y="0"/>
                      <a:ext cx="2362200" cy="3455670"/>
                    </a:xfrm>
                    <a:prstGeom prst="rect">
                      <a:avLst/>
                    </a:prstGeom>
                  </pic:spPr>
                </pic:pic>
              </a:graphicData>
            </a:graphic>
          </wp:anchor>
        </w:drawing>
      </w:r>
      <w:r>
        <w:t xml:space="preserve"> </w:t>
      </w:r>
    </w:p>
    <w:p w14:paraId="6D784015" w14:textId="6B0EDAB0" w:rsidR="003A2A6D" w:rsidRDefault="00B958F2">
      <w:pPr>
        <w:spacing w:after="36" w:line="259" w:lineRule="auto"/>
        <w:ind w:left="5401" w:firstLine="0"/>
      </w:pPr>
      <w:r>
        <w:rPr>
          <w:b/>
          <w:color w:val="003366"/>
          <w:sz w:val="44"/>
        </w:rPr>
        <w:t>Nicole Baldwin</w:t>
      </w:r>
      <w:r w:rsidR="00A2435D">
        <w:rPr>
          <w:b/>
          <w:color w:val="003366"/>
          <w:sz w:val="44"/>
        </w:rPr>
        <w:t>-Hunt</w:t>
      </w:r>
      <w:r>
        <w:rPr>
          <w:b/>
          <w:color w:val="003366"/>
          <w:sz w:val="44"/>
        </w:rPr>
        <w:t xml:space="preserve">, MLS, </w:t>
      </w:r>
    </w:p>
    <w:p w14:paraId="393F4577" w14:textId="77777777" w:rsidR="003A2A6D" w:rsidRDefault="00B958F2">
      <w:pPr>
        <w:spacing w:after="84" w:line="259" w:lineRule="auto"/>
        <w:ind w:left="2564" w:firstLine="0"/>
        <w:jc w:val="center"/>
      </w:pPr>
      <w:r>
        <w:rPr>
          <w:b/>
          <w:color w:val="003366"/>
          <w:sz w:val="44"/>
        </w:rPr>
        <w:t>APRN, FNP-C</w:t>
      </w:r>
      <w:r>
        <w:t xml:space="preserve"> </w:t>
      </w:r>
    </w:p>
    <w:p w14:paraId="4B58A5FE" w14:textId="77777777" w:rsidR="003A2A6D" w:rsidRDefault="00B958F2">
      <w:pPr>
        <w:spacing w:after="162" w:line="274" w:lineRule="auto"/>
        <w:ind w:left="5401" w:firstLine="0"/>
      </w:pPr>
      <w:r>
        <w:rPr>
          <w:i/>
          <w:color w:val="003366"/>
          <w:sz w:val="28"/>
        </w:rPr>
        <w:t>Medical-Legal Consultant | Professional Liability Specialist</w:t>
      </w:r>
      <w:r>
        <w:t xml:space="preserve"> </w:t>
      </w:r>
    </w:p>
    <w:p w14:paraId="22E4F138" w14:textId="77777777" w:rsidR="003A2A6D" w:rsidRDefault="00B958F2">
      <w:pPr>
        <w:spacing w:after="0" w:line="259" w:lineRule="auto"/>
        <w:ind w:left="5401" w:firstLine="0"/>
      </w:pPr>
      <w:r>
        <w:rPr>
          <w:b/>
          <w:sz w:val="24"/>
        </w:rPr>
        <w:t xml:space="preserve">Licensed to practice medicine nationwide              </w:t>
      </w:r>
    </w:p>
    <w:p w14:paraId="4406B30E" w14:textId="77777777" w:rsidR="003A2A6D" w:rsidRDefault="00B958F2">
      <w:pPr>
        <w:spacing w:after="194" w:line="259" w:lineRule="auto"/>
        <w:ind w:left="1611" w:firstLine="0"/>
        <w:jc w:val="center"/>
      </w:pPr>
      <w:r>
        <w:rPr>
          <w:b/>
        </w:rPr>
        <w:t>(50 States + DC)</w:t>
      </w:r>
      <w:r>
        <w:t xml:space="preserve"> </w:t>
      </w:r>
    </w:p>
    <w:p w14:paraId="50100563" w14:textId="77777777" w:rsidR="003A2A6D" w:rsidRDefault="00B958F2">
      <w:pPr>
        <w:spacing w:after="39" w:line="259" w:lineRule="auto"/>
        <w:ind w:left="5401" w:firstLine="0"/>
      </w:pPr>
      <w:r>
        <w:rPr>
          <w:sz w:val="20"/>
        </w:rPr>
        <w:t xml:space="preserve">(727) 992-4634 | Nicole@myhamiltonhealth.com </w:t>
      </w:r>
    </w:p>
    <w:p w14:paraId="11AB96FC" w14:textId="77777777" w:rsidR="003A2A6D" w:rsidRDefault="00B958F2">
      <w:pPr>
        <w:spacing w:after="1022" w:line="259" w:lineRule="auto"/>
        <w:ind w:left="54" w:firstLine="0"/>
        <w:jc w:val="center"/>
      </w:pPr>
      <w:r>
        <w:t xml:space="preserve"> </w:t>
      </w:r>
    </w:p>
    <w:p w14:paraId="7ECC0A39" w14:textId="77777777" w:rsidR="003A2A6D" w:rsidRDefault="00B958F2">
      <w:pPr>
        <w:spacing w:line="259" w:lineRule="auto"/>
        <w:ind w:left="3721" w:firstLine="0"/>
      </w:pPr>
      <w:r>
        <w:t xml:space="preserve"> </w:t>
      </w:r>
    </w:p>
    <w:p w14:paraId="74B13440" w14:textId="77777777" w:rsidR="003A2A6D" w:rsidRDefault="00B958F2">
      <w:pPr>
        <w:pStyle w:val="Heading1"/>
        <w:ind w:left="-5"/>
      </w:pPr>
      <w:r>
        <w:t>PROFESSIONAL PROFILE</w:t>
      </w:r>
      <w:r>
        <w:rPr>
          <w:b w:val="0"/>
          <w:color w:val="000000"/>
          <w:sz w:val="22"/>
        </w:rPr>
        <w:t xml:space="preserve"> </w:t>
      </w:r>
    </w:p>
    <w:p w14:paraId="4D2E6BB8" w14:textId="77777777" w:rsidR="003A2A6D" w:rsidRDefault="00B958F2">
      <w:pPr>
        <w:spacing w:after="241" w:line="259" w:lineRule="auto"/>
        <w:ind w:left="-29" w:right="-34" w:firstLine="0"/>
      </w:pPr>
      <w:r>
        <w:rPr>
          <w:rFonts w:ascii="Calibri" w:eastAsia="Calibri" w:hAnsi="Calibri" w:cs="Calibri"/>
          <w:noProof/>
        </w:rPr>
        <mc:AlternateContent>
          <mc:Choice Requires="wpg">
            <w:drawing>
              <wp:inline distT="0" distB="0" distL="0" distR="0" wp14:anchorId="0D003DFE" wp14:editId="5D56F570">
                <wp:extent cx="6895846" cy="9144"/>
                <wp:effectExtent l="0" t="0" r="0" b="0"/>
                <wp:docPr id="1627" name="Group 1627"/>
                <wp:cNvGraphicFramePr/>
                <a:graphic xmlns:a="http://schemas.openxmlformats.org/drawingml/2006/main">
                  <a:graphicData uri="http://schemas.microsoft.com/office/word/2010/wordprocessingGroup">
                    <wpg:wgp>
                      <wpg:cNvGrpSpPr/>
                      <wpg:grpSpPr>
                        <a:xfrm>
                          <a:off x="0" y="0"/>
                          <a:ext cx="6895846" cy="9144"/>
                          <a:chOff x="0" y="0"/>
                          <a:chExt cx="6895846" cy="9144"/>
                        </a:xfrm>
                      </wpg:grpSpPr>
                      <wps:wsp>
                        <wps:cNvPr id="1965" name="Shape 1965"/>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3366"/>
                          </a:fillRef>
                          <a:effectRef idx="0">
                            <a:scrgbClr r="0" g="0" b="0"/>
                          </a:effectRef>
                          <a:fontRef idx="none"/>
                        </wps:style>
                        <wps:bodyPr/>
                      </wps:wsp>
                    </wpg:wgp>
                  </a:graphicData>
                </a:graphic>
              </wp:inline>
            </w:drawing>
          </mc:Choice>
          <mc:Fallback xmlns:a="http://schemas.openxmlformats.org/drawingml/2006/main">
            <w:pict>
              <v:group id="Group 1627" style="width:542.98pt;height:0.720001pt;mso-position-horizontal-relative:char;mso-position-vertical-relative:line" coordsize="68958,91">
                <v:shape id="Shape 1966" style="position:absolute;width:68958;height:91;left:0;top:0;" coordsize="6895846,9144" path="m0,0l6895846,0l6895846,9144l0,9144l0,0">
                  <v:stroke weight="0pt" endcap="flat" joinstyle="miter" miterlimit="10" on="false" color="#000000" opacity="0"/>
                  <v:fill on="true" color="#003366"/>
                </v:shape>
              </v:group>
            </w:pict>
          </mc:Fallback>
        </mc:AlternateContent>
      </w:r>
    </w:p>
    <w:p w14:paraId="08E73E0D" w14:textId="77777777" w:rsidR="003A2A6D" w:rsidRDefault="00B958F2">
      <w:pPr>
        <w:spacing w:after="240"/>
        <w:ind w:left="-15" w:firstLine="0"/>
      </w:pPr>
      <w:r>
        <w:t xml:space="preserve">Board-Certified Family Nurse Practitioner and Master of Legal Studies (Healthcare Law candidate) with over 15 years of high-acuity clinical experience. Expert in bridging the gap between complex clinical outcomes and professional liability defense strategy. Specializing in merit screening, standard of care analysis, and forensic medical record review to support litigation teams in general and professional liability matters. Uniquely qualified to provide jurisdictional insights across all 50 states, ensuring robust defense preparation for depositions, discovery, and trial. </w:t>
      </w:r>
    </w:p>
    <w:p w14:paraId="2A4421C9" w14:textId="77777777" w:rsidR="003A2A6D" w:rsidRDefault="00B958F2">
      <w:pPr>
        <w:pStyle w:val="Heading1"/>
        <w:ind w:left="-5"/>
      </w:pPr>
      <w:r>
        <w:t>CORE MEDICAL-LEGAL COMPETENCIES</w:t>
      </w:r>
      <w:r>
        <w:rPr>
          <w:b w:val="0"/>
          <w:color w:val="000000"/>
          <w:sz w:val="22"/>
        </w:rPr>
        <w:t xml:space="preserve"> </w:t>
      </w:r>
    </w:p>
    <w:p w14:paraId="12D0E42E" w14:textId="77777777" w:rsidR="003A2A6D" w:rsidRDefault="00B958F2">
      <w:pPr>
        <w:spacing w:after="253" w:line="259" w:lineRule="auto"/>
        <w:ind w:left="-29" w:right="-34" w:firstLine="0"/>
      </w:pPr>
      <w:r>
        <w:rPr>
          <w:rFonts w:ascii="Calibri" w:eastAsia="Calibri" w:hAnsi="Calibri" w:cs="Calibri"/>
          <w:noProof/>
        </w:rPr>
        <mc:AlternateContent>
          <mc:Choice Requires="wpg">
            <w:drawing>
              <wp:inline distT="0" distB="0" distL="0" distR="0" wp14:anchorId="6C12C46B" wp14:editId="27062AF1">
                <wp:extent cx="6895846" cy="9144"/>
                <wp:effectExtent l="0" t="0" r="0" b="0"/>
                <wp:docPr id="1628" name="Group 1628"/>
                <wp:cNvGraphicFramePr/>
                <a:graphic xmlns:a="http://schemas.openxmlformats.org/drawingml/2006/main">
                  <a:graphicData uri="http://schemas.microsoft.com/office/word/2010/wordprocessingGroup">
                    <wpg:wgp>
                      <wpg:cNvGrpSpPr/>
                      <wpg:grpSpPr>
                        <a:xfrm>
                          <a:off x="0" y="0"/>
                          <a:ext cx="6895846" cy="9144"/>
                          <a:chOff x="0" y="0"/>
                          <a:chExt cx="6895846" cy="9144"/>
                        </a:xfrm>
                      </wpg:grpSpPr>
                      <wps:wsp>
                        <wps:cNvPr id="1967" name="Shape 1967"/>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3366"/>
                          </a:fillRef>
                          <a:effectRef idx="0">
                            <a:scrgbClr r="0" g="0" b="0"/>
                          </a:effectRef>
                          <a:fontRef idx="none"/>
                        </wps:style>
                        <wps:bodyPr/>
                      </wps:wsp>
                    </wpg:wgp>
                  </a:graphicData>
                </a:graphic>
              </wp:inline>
            </w:drawing>
          </mc:Choice>
          <mc:Fallback xmlns:a="http://schemas.openxmlformats.org/drawingml/2006/main">
            <w:pict>
              <v:group id="Group 1628" style="width:542.98pt;height:0.720001pt;mso-position-horizontal-relative:char;mso-position-vertical-relative:line" coordsize="68958,91">
                <v:shape id="Shape 1968" style="position:absolute;width:68958;height:91;left:0;top:0;" coordsize="6895846,9144" path="m0,0l6895846,0l6895846,9144l0,9144l0,0">
                  <v:stroke weight="0pt" endcap="flat" joinstyle="miter" miterlimit="10" on="false" color="#000000" opacity="0"/>
                  <v:fill on="true" color="#003366"/>
                </v:shape>
              </v:group>
            </w:pict>
          </mc:Fallback>
        </mc:AlternateContent>
      </w:r>
    </w:p>
    <w:p w14:paraId="72CE691D" w14:textId="3120794F" w:rsidR="003A2A6D" w:rsidRDefault="00B958F2" w:rsidP="00212C79">
      <w:pPr>
        <w:spacing w:after="33" w:line="263" w:lineRule="auto"/>
        <w:ind w:left="0" w:firstLine="0"/>
      </w:pPr>
      <w:r>
        <w:t xml:space="preserve">. </w:t>
      </w:r>
      <w:r>
        <w:rPr>
          <w:rFonts w:ascii="Segoe UI Symbol" w:eastAsia="Segoe UI Symbol" w:hAnsi="Segoe UI Symbol" w:cs="Segoe UI Symbol"/>
        </w:rPr>
        <w:t>•</w:t>
      </w:r>
      <w:r>
        <w:rPr>
          <w:rFonts w:ascii="Arial" w:eastAsia="Arial" w:hAnsi="Arial" w:cs="Arial"/>
        </w:rPr>
        <w:t xml:space="preserve"> </w:t>
      </w:r>
      <w:r w:rsidR="00212C79">
        <w:rPr>
          <w:rFonts w:ascii="Arial" w:eastAsia="Arial" w:hAnsi="Arial" w:cs="Arial"/>
        </w:rPr>
        <w:t xml:space="preserve">  </w:t>
      </w:r>
      <w:r>
        <w:t xml:space="preserve">Clinical Expertise: </w:t>
      </w:r>
      <w:r w:rsidR="00A37A82">
        <w:t xml:space="preserve">ICU, </w:t>
      </w:r>
      <w:r>
        <w:t>Trauma</w:t>
      </w:r>
      <w:r w:rsidR="00A37A82">
        <w:t>,</w:t>
      </w:r>
      <w:r>
        <w:t xml:space="preserve"> Surgery, Cardiology, Orthopedics, Critical Care, and Emergency Medicine. </w:t>
      </w:r>
    </w:p>
    <w:p w14:paraId="73A36469" w14:textId="77777777" w:rsidR="003A2A6D" w:rsidRDefault="00B958F2">
      <w:pPr>
        <w:numPr>
          <w:ilvl w:val="0"/>
          <w:numId w:val="1"/>
        </w:numPr>
        <w:spacing w:after="0"/>
        <w:ind w:hanging="360"/>
      </w:pPr>
      <w:r>
        <w:t xml:space="preserve">Regulatory &amp; Compliance: Healthcare Law, HIPAA, Risk Management, and Telehealth Statutory Requirements. </w:t>
      </w:r>
    </w:p>
    <w:p w14:paraId="5E4FF91E" w14:textId="77777777" w:rsidR="003A2A6D" w:rsidRDefault="00B958F2">
      <w:pPr>
        <w:numPr>
          <w:ilvl w:val="0"/>
          <w:numId w:val="1"/>
        </w:numPr>
        <w:spacing w:after="15"/>
        <w:ind w:hanging="360"/>
      </w:pPr>
      <w:r>
        <w:t xml:space="preserve">Forensic Analysis: Independent interpretation of Orthopedic X-rays, medical chronologies, and deposition preparation. </w:t>
      </w:r>
    </w:p>
    <w:p w14:paraId="3D14E02C" w14:textId="77777777" w:rsidR="003A2A6D" w:rsidRDefault="00B958F2">
      <w:pPr>
        <w:numPr>
          <w:ilvl w:val="0"/>
          <w:numId w:val="1"/>
        </w:numPr>
        <w:spacing w:after="242"/>
        <w:ind w:hanging="360"/>
      </w:pPr>
      <w:r>
        <w:t xml:space="preserve">Jurisdictional Versatility: Active medical licensure in all 50 states + DC, providing a nationwide standard of care perspective. </w:t>
      </w:r>
    </w:p>
    <w:p w14:paraId="64E8BD84" w14:textId="77777777" w:rsidR="003A2A6D" w:rsidRDefault="00B958F2">
      <w:pPr>
        <w:pStyle w:val="Heading1"/>
        <w:ind w:left="-5"/>
      </w:pPr>
      <w:r>
        <w:t>EDUCATION</w:t>
      </w:r>
      <w:r>
        <w:rPr>
          <w:b w:val="0"/>
          <w:color w:val="000000"/>
          <w:sz w:val="22"/>
        </w:rPr>
        <w:t xml:space="preserve"> </w:t>
      </w:r>
    </w:p>
    <w:p w14:paraId="4FBB605F" w14:textId="77777777" w:rsidR="003A2A6D" w:rsidRDefault="00B958F2">
      <w:pPr>
        <w:spacing w:after="241" w:line="259" w:lineRule="auto"/>
        <w:ind w:left="-29" w:right="-34" w:firstLine="0"/>
      </w:pPr>
      <w:r>
        <w:rPr>
          <w:rFonts w:ascii="Calibri" w:eastAsia="Calibri" w:hAnsi="Calibri" w:cs="Calibri"/>
          <w:noProof/>
        </w:rPr>
        <mc:AlternateContent>
          <mc:Choice Requires="wpg">
            <w:drawing>
              <wp:inline distT="0" distB="0" distL="0" distR="0" wp14:anchorId="32AA32F2" wp14:editId="46714E1F">
                <wp:extent cx="6895846" cy="9144"/>
                <wp:effectExtent l="0" t="0" r="0" b="0"/>
                <wp:docPr id="1629" name="Group 1629"/>
                <wp:cNvGraphicFramePr/>
                <a:graphic xmlns:a="http://schemas.openxmlformats.org/drawingml/2006/main">
                  <a:graphicData uri="http://schemas.microsoft.com/office/word/2010/wordprocessingGroup">
                    <wpg:wgp>
                      <wpg:cNvGrpSpPr/>
                      <wpg:grpSpPr>
                        <a:xfrm>
                          <a:off x="0" y="0"/>
                          <a:ext cx="6895846" cy="9144"/>
                          <a:chOff x="0" y="0"/>
                          <a:chExt cx="6895846" cy="9144"/>
                        </a:xfrm>
                      </wpg:grpSpPr>
                      <wps:wsp>
                        <wps:cNvPr id="1969" name="Shape 1969"/>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3366"/>
                          </a:fillRef>
                          <a:effectRef idx="0">
                            <a:scrgbClr r="0" g="0" b="0"/>
                          </a:effectRef>
                          <a:fontRef idx="none"/>
                        </wps:style>
                        <wps:bodyPr/>
                      </wps:wsp>
                    </wpg:wgp>
                  </a:graphicData>
                </a:graphic>
              </wp:inline>
            </w:drawing>
          </mc:Choice>
          <mc:Fallback xmlns:a="http://schemas.openxmlformats.org/drawingml/2006/main">
            <w:pict>
              <v:group id="Group 1629" style="width:542.98pt;height:0.720032pt;mso-position-horizontal-relative:char;mso-position-vertical-relative:line" coordsize="68958,91">
                <v:shape id="Shape 1970" style="position:absolute;width:68958;height:91;left:0;top:0;" coordsize="6895846,9144" path="m0,0l6895846,0l6895846,9144l0,9144l0,0">
                  <v:stroke weight="0pt" endcap="flat" joinstyle="miter" miterlimit="10" on="false" color="#000000" opacity="0"/>
                  <v:fill on="true" color="#003366"/>
                </v:shape>
              </v:group>
            </w:pict>
          </mc:Fallback>
        </mc:AlternateContent>
      </w:r>
    </w:p>
    <w:p w14:paraId="626CFA2C" w14:textId="77777777" w:rsidR="003A2A6D" w:rsidRDefault="00B958F2">
      <w:pPr>
        <w:spacing w:after="208" w:line="267" w:lineRule="auto"/>
        <w:ind w:left="-5" w:hanging="10"/>
      </w:pPr>
      <w:r>
        <w:rPr>
          <w:b/>
        </w:rPr>
        <w:t xml:space="preserve">Master of Legal Studies – Healthcare Law </w:t>
      </w:r>
      <w:r>
        <w:t xml:space="preserve">| University of Oklahoma (May 2025) </w:t>
      </w:r>
    </w:p>
    <w:p w14:paraId="09C645C6" w14:textId="77777777" w:rsidR="003A2A6D" w:rsidRDefault="00B958F2">
      <w:pPr>
        <w:spacing w:after="208" w:line="267" w:lineRule="auto"/>
        <w:ind w:left="-5" w:right="3667" w:hanging="10"/>
      </w:pPr>
      <w:r>
        <w:rPr>
          <w:b/>
        </w:rPr>
        <w:t xml:space="preserve">Master of Science in Nursing (FNP) </w:t>
      </w:r>
      <w:r>
        <w:t xml:space="preserve">| South University (2018) </w:t>
      </w:r>
    </w:p>
    <w:p w14:paraId="166F83F7" w14:textId="77777777" w:rsidR="003A2A6D" w:rsidRDefault="00B958F2">
      <w:pPr>
        <w:ind w:left="-15" w:firstLine="0"/>
      </w:pPr>
      <w:r>
        <w:rPr>
          <w:b/>
        </w:rPr>
        <w:t xml:space="preserve">Bachelor of Science in Nursing </w:t>
      </w:r>
      <w:r>
        <w:t xml:space="preserve">| University of South Florida (2014) </w:t>
      </w:r>
    </w:p>
    <w:p w14:paraId="4F2655B3" w14:textId="77777777" w:rsidR="003A2A6D" w:rsidRDefault="00B958F2">
      <w:pPr>
        <w:ind w:left="-15" w:firstLine="0"/>
      </w:pPr>
      <w:r>
        <w:rPr>
          <w:b/>
        </w:rPr>
        <w:t xml:space="preserve">Associate of Science in Nursing (RN) </w:t>
      </w:r>
      <w:r>
        <w:t xml:space="preserve">| Pasco-Hernando Community College (2007) </w:t>
      </w:r>
    </w:p>
    <w:p w14:paraId="0CB28BFF" w14:textId="77777777" w:rsidR="003A2A6D" w:rsidRDefault="00B958F2">
      <w:pPr>
        <w:spacing w:after="0" w:line="259" w:lineRule="auto"/>
        <w:ind w:left="0" w:firstLine="0"/>
      </w:pPr>
      <w:r>
        <w:lastRenderedPageBreak/>
        <w:t xml:space="preserve"> </w:t>
      </w:r>
    </w:p>
    <w:p w14:paraId="38B1728E" w14:textId="77777777" w:rsidR="003A2A6D" w:rsidRDefault="00B958F2">
      <w:pPr>
        <w:pStyle w:val="Heading1"/>
        <w:ind w:left="-5"/>
      </w:pPr>
      <w:r>
        <w:t>LICENSURE &amp; CREDENTIALS</w:t>
      </w:r>
      <w:r>
        <w:rPr>
          <w:b w:val="0"/>
          <w:color w:val="000000"/>
          <w:sz w:val="22"/>
        </w:rPr>
        <w:t xml:space="preserve"> </w:t>
      </w:r>
    </w:p>
    <w:p w14:paraId="0A847EEA" w14:textId="77777777" w:rsidR="003A2A6D" w:rsidRDefault="00B958F2">
      <w:pPr>
        <w:spacing w:after="253" w:line="259" w:lineRule="auto"/>
        <w:ind w:left="-29" w:right="-34" w:firstLine="0"/>
      </w:pPr>
      <w:r>
        <w:rPr>
          <w:rFonts w:ascii="Calibri" w:eastAsia="Calibri" w:hAnsi="Calibri" w:cs="Calibri"/>
          <w:noProof/>
        </w:rPr>
        <mc:AlternateContent>
          <mc:Choice Requires="wpg">
            <w:drawing>
              <wp:inline distT="0" distB="0" distL="0" distR="0" wp14:anchorId="03CEDDCC" wp14:editId="321F891E">
                <wp:extent cx="6895846" cy="9144"/>
                <wp:effectExtent l="0" t="0" r="0" b="0"/>
                <wp:docPr id="1547" name="Group 1547"/>
                <wp:cNvGraphicFramePr/>
                <a:graphic xmlns:a="http://schemas.openxmlformats.org/drawingml/2006/main">
                  <a:graphicData uri="http://schemas.microsoft.com/office/word/2010/wordprocessingGroup">
                    <wpg:wgp>
                      <wpg:cNvGrpSpPr/>
                      <wpg:grpSpPr>
                        <a:xfrm>
                          <a:off x="0" y="0"/>
                          <a:ext cx="6895846" cy="9144"/>
                          <a:chOff x="0" y="0"/>
                          <a:chExt cx="6895846" cy="9144"/>
                        </a:xfrm>
                      </wpg:grpSpPr>
                      <wps:wsp>
                        <wps:cNvPr id="1971" name="Shape 1971"/>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3366"/>
                          </a:fillRef>
                          <a:effectRef idx="0">
                            <a:scrgbClr r="0" g="0" b="0"/>
                          </a:effectRef>
                          <a:fontRef idx="none"/>
                        </wps:style>
                        <wps:bodyPr/>
                      </wps:wsp>
                    </wpg:wgp>
                  </a:graphicData>
                </a:graphic>
              </wp:inline>
            </w:drawing>
          </mc:Choice>
          <mc:Fallback xmlns:a="http://schemas.openxmlformats.org/drawingml/2006/main">
            <w:pict>
              <v:group id="Group 1547" style="width:542.98pt;height:0.719971pt;mso-position-horizontal-relative:char;mso-position-vertical-relative:line" coordsize="68958,91">
                <v:shape id="Shape 1972" style="position:absolute;width:68958;height:91;left:0;top:0;" coordsize="6895846,9144" path="m0,0l6895846,0l6895846,9144l0,9144l0,0">
                  <v:stroke weight="0pt" endcap="flat" joinstyle="miter" miterlimit="10" on="false" color="#000000" opacity="0"/>
                  <v:fill on="true" color="#003366"/>
                </v:shape>
              </v:group>
            </w:pict>
          </mc:Fallback>
        </mc:AlternateContent>
      </w:r>
    </w:p>
    <w:p w14:paraId="18059BDF" w14:textId="77777777" w:rsidR="003A2A6D" w:rsidRPr="006242C5" w:rsidRDefault="00B958F2">
      <w:pPr>
        <w:numPr>
          <w:ilvl w:val="0"/>
          <w:numId w:val="2"/>
        </w:numPr>
        <w:spacing w:after="0"/>
        <w:ind w:hanging="360"/>
        <w:rPr>
          <w:b/>
          <w:bCs/>
        </w:rPr>
      </w:pPr>
      <w:r w:rsidRPr="006242C5">
        <w:rPr>
          <w:b/>
          <w:bCs/>
        </w:rPr>
        <w:t xml:space="preserve">Nationwide Authority: Active medical licensure in all 50 U.S. states and District of Columbia. </w:t>
      </w:r>
    </w:p>
    <w:p w14:paraId="2A396AB7" w14:textId="77777777" w:rsidR="003A2A6D" w:rsidRDefault="00B958F2">
      <w:pPr>
        <w:numPr>
          <w:ilvl w:val="0"/>
          <w:numId w:val="2"/>
        </w:numPr>
        <w:spacing w:after="0"/>
        <w:ind w:hanging="360"/>
      </w:pPr>
      <w:r>
        <w:t xml:space="preserve">Florida Autonomous ARNP </w:t>
      </w:r>
      <w:proofErr w:type="gramStart"/>
      <w:r>
        <w:t>License (#</w:t>
      </w:r>
      <w:proofErr w:type="gramEnd"/>
      <w:r>
        <w:t xml:space="preserve">11000617). </w:t>
      </w:r>
    </w:p>
    <w:p w14:paraId="77BFCADD" w14:textId="77777777" w:rsidR="003A2A6D" w:rsidRDefault="00B958F2">
      <w:pPr>
        <w:numPr>
          <w:ilvl w:val="0"/>
          <w:numId w:val="2"/>
        </w:numPr>
        <w:spacing w:after="0"/>
        <w:ind w:hanging="360"/>
      </w:pPr>
      <w:r>
        <w:t xml:space="preserve">FNP-C, AANP Board Certified. </w:t>
      </w:r>
    </w:p>
    <w:p w14:paraId="13D67F11" w14:textId="77777777" w:rsidR="003A2A6D" w:rsidRDefault="00B958F2">
      <w:pPr>
        <w:numPr>
          <w:ilvl w:val="0"/>
          <w:numId w:val="2"/>
        </w:numPr>
        <w:ind w:hanging="360"/>
      </w:pPr>
      <w:r>
        <w:t xml:space="preserve">ACLS, BLS, PALS Certifications. </w:t>
      </w:r>
    </w:p>
    <w:p w14:paraId="26D56F8B" w14:textId="77777777" w:rsidR="003A2A6D" w:rsidRDefault="00B958F2">
      <w:pPr>
        <w:pStyle w:val="Heading1"/>
        <w:ind w:left="-5"/>
      </w:pPr>
      <w:r>
        <w:t>PROFESSIONAL EXPERIENCE</w:t>
      </w:r>
      <w:r>
        <w:rPr>
          <w:b w:val="0"/>
          <w:color w:val="000000"/>
          <w:sz w:val="22"/>
        </w:rPr>
        <w:t xml:space="preserve"> </w:t>
      </w:r>
    </w:p>
    <w:p w14:paraId="6524DC18" w14:textId="77777777" w:rsidR="003A2A6D" w:rsidRDefault="00B958F2">
      <w:pPr>
        <w:spacing w:after="241" w:line="259" w:lineRule="auto"/>
        <w:ind w:left="-29" w:right="-34" w:firstLine="0"/>
      </w:pPr>
      <w:r>
        <w:rPr>
          <w:rFonts w:ascii="Calibri" w:eastAsia="Calibri" w:hAnsi="Calibri" w:cs="Calibri"/>
          <w:noProof/>
        </w:rPr>
        <mc:AlternateContent>
          <mc:Choice Requires="wpg">
            <w:drawing>
              <wp:inline distT="0" distB="0" distL="0" distR="0" wp14:anchorId="7EDC0B9A" wp14:editId="5AB60CA1">
                <wp:extent cx="6895846" cy="9144"/>
                <wp:effectExtent l="0" t="0" r="0" b="0"/>
                <wp:docPr id="1548" name="Group 1548"/>
                <wp:cNvGraphicFramePr/>
                <a:graphic xmlns:a="http://schemas.openxmlformats.org/drawingml/2006/main">
                  <a:graphicData uri="http://schemas.microsoft.com/office/word/2010/wordprocessingGroup">
                    <wpg:wgp>
                      <wpg:cNvGrpSpPr/>
                      <wpg:grpSpPr>
                        <a:xfrm>
                          <a:off x="0" y="0"/>
                          <a:ext cx="6895846" cy="9144"/>
                          <a:chOff x="0" y="0"/>
                          <a:chExt cx="6895846" cy="9144"/>
                        </a:xfrm>
                      </wpg:grpSpPr>
                      <wps:wsp>
                        <wps:cNvPr id="1973" name="Shape 1973"/>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3366"/>
                          </a:fillRef>
                          <a:effectRef idx="0">
                            <a:scrgbClr r="0" g="0" b="0"/>
                          </a:effectRef>
                          <a:fontRef idx="none"/>
                        </wps:style>
                        <wps:bodyPr/>
                      </wps:wsp>
                    </wpg:wgp>
                  </a:graphicData>
                </a:graphic>
              </wp:inline>
            </w:drawing>
          </mc:Choice>
          <mc:Fallback xmlns:a="http://schemas.openxmlformats.org/drawingml/2006/main">
            <w:pict>
              <v:group id="Group 1548" style="width:542.98pt;height:0.719971pt;mso-position-horizontal-relative:char;mso-position-vertical-relative:line" coordsize="68958,91">
                <v:shape id="Shape 1974" style="position:absolute;width:68958;height:91;left:0;top:0;" coordsize="6895846,9144" path="m0,0l6895846,0l6895846,9144l0,9144l0,0">
                  <v:stroke weight="0pt" endcap="flat" joinstyle="miter" miterlimit="10" on="false" color="#000000" opacity="0"/>
                  <v:fill on="true" color="#003366"/>
                </v:shape>
              </v:group>
            </w:pict>
          </mc:Fallback>
        </mc:AlternateContent>
      </w:r>
    </w:p>
    <w:p w14:paraId="521C7230" w14:textId="77777777" w:rsidR="003A2A6D" w:rsidRDefault="00B958F2">
      <w:pPr>
        <w:spacing w:after="208" w:line="267" w:lineRule="auto"/>
        <w:ind w:left="-5" w:right="3667" w:hanging="10"/>
      </w:pPr>
      <w:r>
        <w:rPr>
          <w:b/>
        </w:rPr>
        <w:t>Hamilton Health &amp; Wellness / TeleHealth Connect</w:t>
      </w:r>
      <w:r>
        <w:rPr>
          <w:i/>
        </w:rPr>
        <w:t xml:space="preserve"> | Founder &amp; CEO</w:t>
      </w:r>
      <w:r>
        <w:t xml:space="preserve"> 2019 – Present </w:t>
      </w:r>
    </w:p>
    <w:p w14:paraId="285583BD" w14:textId="77777777" w:rsidR="003A2A6D" w:rsidRDefault="00B958F2">
      <w:pPr>
        <w:numPr>
          <w:ilvl w:val="0"/>
          <w:numId w:val="3"/>
        </w:numPr>
        <w:spacing w:after="16"/>
        <w:ind w:hanging="360"/>
      </w:pPr>
      <w:r>
        <w:t xml:space="preserve">Compliance &amp; Risk Management: Direct nationwide clinical operations, ensuring adherence to varying state statutes and medical board regulations across all 50 states. </w:t>
      </w:r>
    </w:p>
    <w:p w14:paraId="73ABBD81" w14:textId="77777777" w:rsidR="003A2A6D" w:rsidRDefault="00B958F2">
      <w:pPr>
        <w:numPr>
          <w:ilvl w:val="0"/>
          <w:numId w:val="3"/>
        </w:numPr>
        <w:ind w:hanging="360"/>
      </w:pPr>
      <w:r>
        <w:t xml:space="preserve">Strategic Care Modeling: Develop care delivery frameworks focused on mitigating liability in the digital health space. </w:t>
      </w:r>
    </w:p>
    <w:p w14:paraId="1E91E185" w14:textId="77777777" w:rsidR="003A2A6D" w:rsidRDefault="00B958F2">
      <w:pPr>
        <w:spacing w:after="208" w:line="267" w:lineRule="auto"/>
        <w:ind w:left="-5" w:right="3667" w:hanging="10"/>
      </w:pPr>
      <w:r>
        <w:rPr>
          <w:b/>
        </w:rPr>
        <w:t>Center for Bone and Joint Disease</w:t>
      </w:r>
      <w:r>
        <w:rPr>
          <w:i/>
        </w:rPr>
        <w:t xml:space="preserve"> | NP – Orthopedic &amp; Trauma Surgery</w:t>
      </w:r>
      <w:r>
        <w:t xml:space="preserve"> 2019 – 2023 </w:t>
      </w:r>
    </w:p>
    <w:p w14:paraId="5D857545" w14:textId="77777777" w:rsidR="003A2A6D" w:rsidRDefault="00B958F2">
      <w:pPr>
        <w:numPr>
          <w:ilvl w:val="0"/>
          <w:numId w:val="3"/>
        </w:numPr>
        <w:spacing w:after="25"/>
        <w:ind w:hanging="360"/>
      </w:pPr>
      <w:r>
        <w:t xml:space="preserve">Standard of Care Mastery: Managed high-stakes trauma and orthopedic surgical cases, ensuring meticulous documentation and adherence to surgical protocols to prevent liability. </w:t>
      </w:r>
    </w:p>
    <w:p w14:paraId="63F0BC9E" w14:textId="77777777" w:rsidR="003A2A6D" w:rsidRDefault="00B958F2">
      <w:pPr>
        <w:numPr>
          <w:ilvl w:val="0"/>
          <w:numId w:val="3"/>
        </w:numPr>
        <w:ind w:hanging="360"/>
      </w:pPr>
      <w:r>
        <w:t xml:space="preserve">Diagnostic Interpretation: Conducted independent radiographic analysis and post-operative management for acute trauma populations. </w:t>
      </w:r>
    </w:p>
    <w:p w14:paraId="3C41D6A6" w14:textId="44DAF620" w:rsidR="00055F58" w:rsidRDefault="00055F58" w:rsidP="00055F58">
      <w:pPr>
        <w:spacing w:after="208" w:line="267" w:lineRule="auto"/>
        <w:ind w:left="-5" w:right="3667" w:hanging="10"/>
      </w:pPr>
      <w:r>
        <w:rPr>
          <w:b/>
        </w:rPr>
        <w:t>Diagnostic Clinic Medical Group</w:t>
      </w:r>
      <w:r>
        <w:rPr>
          <w:i/>
        </w:rPr>
        <w:t xml:space="preserve"> | NP – Internal Medicine &amp; </w:t>
      </w:r>
      <w:r>
        <w:t xml:space="preserve">Urgent Care 2018-2019 </w:t>
      </w:r>
    </w:p>
    <w:p w14:paraId="6E1BD185" w14:textId="213D879E" w:rsidR="00055F58" w:rsidRDefault="00710CD9" w:rsidP="006242C5">
      <w:pPr>
        <w:numPr>
          <w:ilvl w:val="0"/>
          <w:numId w:val="3"/>
        </w:numPr>
        <w:ind w:hanging="360"/>
      </w:pPr>
      <w:r w:rsidRPr="00710CD9">
        <w:t>Complex Chronic Care: Delivered high-acuity primary care for adult populations, specializing in the autonomous management of multi-system chronic diseases and complex internal medicine cases.</w:t>
      </w:r>
      <w:r w:rsidR="003E3B62">
        <w:t xml:space="preserve">  </w:t>
      </w:r>
    </w:p>
    <w:p w14:paraId="1C71441E" w14:textId="190D315F" w:rsidR="003E3B62" w:rsidRDefault="003E3B62" w:rsidP="006242C5">
      <w:pPr>
        <w:numPr>
          <w:ilvl w:val="0"/>
          <w:numId w:val="3"/>
        </w:numPr>
        <w:ind w:hanging="360"/>
      </w:pPr>
      <w:r w:rsidRPr="003E3B62">
        <w:t>Acute &amp; Pharmacological Management: Managed complex medication regimens and performed rapid assessments for urgent care presentations, prioritizing patient safety and clinical outcomes</w:t>
      </w:r>
      <w:r w:rsidR="0038357D">
        <w:t>.</w:t>
      </w:r>
    </w:p>
    <w:p w14:paraId="2580F076" w14:textId="77777777" w:rsidR="003A2A6D" w:rsidRDefault="00B958F2">
      <w:pPr>
        <w:spacing w:after="220" w:line="274" w:lineRule="auto"/>
        <w:ind w:left="0" w:right="1717" w:firstLine="0"/>
      </w:pPr>
      <w:r>
        <w:rPr>
          <w:b/>
        </w:rPr>
        <w:t>Acute Care &amp; Leadership Foundations</w:t>
      </w:r>
      <w:r>
        <w:rPr>
          <w:i/>
        </w:rPr>
        <w:t xml:space="preserve"> | BayCare Health / AdventHealth / Florida Hospital</w:t>
      </w:r>
      <w:r>
        <w:t xml:space="preserve"> 2007 – 2020 </w:t>
      </w:r>
    </w:p>
    <w:p w14:paraId="5E95AA65" w14:textId="77777777" w:rsidR="003A2A6D" w:rsidRDefault="00B958F2">
      <w:pPr>
        <w:numPr>
          <w:ilvl w:val="0"/>
          <w:numId w:val="3"/>
        </w:numPr>
        <w:spacing w:after="22"/>
        <w:ind w:hanging="360"/>
      </w:pPr>
      <w:r>
        <w:t xml:space="preserve">Forensic Record Identification: Over a decade of experience in high-acuity settings (ICU/Trauma/ER), providing a deep understanding of standard of care in life-or-death clinical scenarios. </w:t>
      </w:r>
    </w:p>
    <w:p w14:paraId="2EB6C221" w14:textId="77777777" w:rsidR="003A2A6D" w:rsidRDefault="00B958F2">
      <w:pPr>
        <w:numPr>
          <w:ilvl w:val="0"/>
          <w:numId w:val="3"/>
        </w:numPr>
        <w:ind w:hanging="360"/>
      </w:pPr>
      <w:r>
        <w:t xml:space="preserve">Risk Mitigation: Served in leadership roles (Interim Director/Charge Nurse), overseeing unit-level quality control and internal audit functions. </w:t>
      </w:r>
    </w:p>
    <w:sectPr w:rsidR="003A2A6D">
      <w:pgSz w:w="12240" w:h="15840"/>
      <w:pgMar w:top="759" w:right="723" w:bottom="8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31FF"/>
    <w:multiLevelType w:val="hybridMultilevel"/>
    <w:tmpl w:val="A4EA10C8"/>
    <w:lvl w:ilvl="0" w:tplc="3B5451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D83C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8227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06BB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745F9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A064E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EAE9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4446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B8F5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2245F0"/>
    <w:multiLevelType w:val="hybridMultilevel"/>
    <w:tmpl w:val="8A545AEA"/>
    <w:lvl w:ilvl="0" w:tplc="2B888B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B8095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DEE47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80FE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1C4E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54ABB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9C01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6B5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86663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8335B5"/>
    <w:multiLevelType w:val="hybridMultilevel"/>
    <w:tmpl w:val="08F86A68"/>
    <w:lvl w:ilvl="0" w:tplc="9370D2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C7F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4C05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4C25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24AD3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92CE5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1A0C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8240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86533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46293049">
    <w:abstractNumId w:val="2"/>
  </w:num>
  <w:num w:numId="2" w16cid:durableId="674498677">
    <w:abstractNumId w:val="1"/>
  </w:num>
  <w:num w:numId="3" w16cid:durableId="46546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A6D"/>
    <w:rsid w:val="00030819"/>
    <w:rsid w:val="00055F58"/>
    <w:rsid w:val="0012018E"/>
    <w:rsid w:val="00186BE7"/>
    <w:rsid w:val="001B5551"/>
    <w:rsid w:val="00212C79"/>
    <w:rsid w:val="0038357D"/>
    <w:rsid w:val="003A2A6D"/>
    <w:rsid w:val="003E3B62"/>
    <w:rsid w:val="003E7A40"/>
    <w:rsid w:val="006242C5"/>
    <w:rsid w:val="00710CD9"/>
    <w:rsid w:val="00795B56"/>
    <w:rsid w:val="00A2435D"/>
    <w:rsid w:val="00A37A82"/>
    <w:rsid w:val="00B9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099F"/>
  <w15:docId w15:val="{C0347840-3D3E-4504-844C-664AE27F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9" w:lineRule="auto"/>
      <w:ind w:left="370" w:hanging="370"/>
    </w:pPr>
    <w:rPr>
      <w:rFonts w:ascii="Cambria" w:eastAsia="Cambria" w:hAnsi="Cambria" w:cs="Cambria"/>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b/>
      <w:color w:val="00336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33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460</Words>
  <Characters>3093</Characters>
  <Application>Microsoft Office Word</Application>
  <DocSecurity>0</DocSecurity>
  <Lines>67</Lines>
  <Paragraphs>41</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NICOLE BALDWIN</cp:lastModifiedBy>
  <cp:revision>12</cp:revision>
  <dcterms:created xsi:type="dcterms:W3CDTF">2026-05-14T02:17:00Z</dcterms:created>
  <dcterms:modified xsi:type="dcterms:W3CDTF">2026-07-07T15:33:00Z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d0f34de7-497a-444c-9b97-9c53e503b1b0</vt:lpwstr>
  </property>
</Properties>
</file>