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F4E78" w14:textId="77777777" w:rsidR="00301DE4" w:rsidRPr="00AD589A" w:rsidRDefault="00744C1A" w:rsidP="00AD589A">
      <w:pPr>
        <w:spacing w:after="0"/>
        <w:jc w:val="center"/>
        <w:rPr>
          <w:rFonts w:ascii="Arial" w:hAnsi="Arial" w:cs="Arial"/>
          <w:b/>
          <w:sz w:val="24"/>
          <w:szCs w:val="24"/>
        </w:rPr>
      </w:pPr>
      <w:r w:rsidRPr="00AD589A">
        <w:rPr>
          <w:rFonts w:ascii="Arial" w:hAnsi="Arial" w:cs="Arial"/>
          <w:b/>
          <w:sz w:val="24"/>
          <w:szCs w:val="24"/>
        </w:rPr>
        <w:t>Curriculum</w:t>
      </w:r>
      <w:r w:rsidR="00B15542" w:rsidRPr="00AD589A">
        <w:rPr>
          <w:rFonts w:ascii="Arial" w:hAnsi="Arial" w:cs="Arial"/>
          <w:b/>
          <w:sz w:val="24"/>
          <w:szCs w:val="24"/>
        </w:rPr>
        <w:t xml:space="preserve"> Vitae</w:t>
      </w:r>
    </w:p>
    <w:p w14:paraId="2512291D" w14:textId="77777777" w:rsidR="00B15542" w:rsidRPr="00AD589A" w:rsidRDefault="00B15542" w:rsidP="00AD589A">
      <w:pPr>
        <w:spacing w:after="0"/>
        <w:jc w:val="center"/>
        <w:rPr>
          <w:rFonts w:ascii="Arial" w:hAnsi="Arial" w:cs="Arial"/>
          <w:b/>
          <w:sz w:val="24"/>
          <w:szCs w:val="24"/>
        </w:rPr>
      </w:pPr>
      <w:r w:rsidRPr="00AD589A">
        <w:rPr>
          <w:rFonts w:ascii="Arial" w:hAnsi="Arial" w:cs="Arial"/>
          <w:b/>
          <w:sz w:val="24"/>
          <w:szCs w:val="24"/>
        </w:rPr>
        <w:t>Of</w:t>
      </w:r>
    </w:p>
    <w:p w14:paraId="44BFF701" w14:textId="77777777" w:rsidR="00B15542" w:rsidRPr="00AD589A" w:rsidRDefault="00B15542" w:rsidP="00AD589A">
      <w:pPr>
        <w:spacing w:after="0"/>
        <w:jc w:val="center"/>
        <w:rPr>
          <w:rFonts w:ascii="Arial" w:hAnsi="Arial" w:cs="Arial"/>
          <w:b/>
          <w:sz w:val="28"/>
          <w:szCs w:val="28"/>
        </w:rPr>
      </w:pPr>
      <w:r w:rsidRPr="00AD589A">
        <w:rPr>
          <w:rFonts w:ascii="Arial" w:hAnsi="Arial" w:cs="Arial"/>
          <w:b/>
          <w:sz w:val="28"/>
          <w:szCs w:val="28"/>
        </w:rPr>
        <w:t>Mark A. Bailey CPA / ABV /</w:t>
      </w:r>
      <w:r w:rsidR="00A941EB">
        <w:rPr>
          <w:rFonts w:ascii="Arial" w:hAnsi="Arial" w:cs="Arial"/>
          <w:b/>
          <w:sz w:val="28"/>
          <w:szCs w:val="28"/>
        </w:rPr>
        <w:t xml:space="preserve"> CEIV /</w:t>
      </w:r>
      <w:r w:rsidRPr="00AD589A">
        <w:rPr>
          <w:rFonts w:ascii="Arial" w:hAnsi="Arial" w:cs="Arial"/>
          <w:b/>
          <w:sz w:val="28"/>
          <w:szCs w:val="28"/>
        </w:rPr>
        <w:t xml:space="preserve"> CFF</w:t>
      </w:r>
    </w:p>
    <w:p w14:paraId="1373C76B" w14:textId="77777777" w:rsidR="00B15542" w:rsidRPr="00AD589A" w:rsidRDefault="00B15542" w:rsidP="067745C8">
      <w:pPr>
        <w:spacing w:after="0"/>
        <w:jc w:val="center"/>
        <w:rPr>
          <w:rFonts w:ascii="Arial" w:hAnsi="Arial" w:cs="Arial"/>
          <w:sz w:val="20"/>
          <w:szCs w:val="20"/>
        </w:rPr>
      </w:pPr>
      <w:r w:rsidRPr="067745C8">
        <w:rPr>
          <w:rFonts w:ascii="Arial" w:hAnsi="Arial" w:cs="Arial"/>
          <w:sz w:val="20"/>
          <w:szCs w:val="20"/>
        </w:rPr>
        <w:t>Excelsis Accounting Group</w:t>
      </w:r>
    </w:p>
    <w:p w14:paraId="5BB6167B" w14:textId="77777777" w:rsidR="00B15542" w:rsidRPr="00AD589A" w:rsidRDefault="00B15542" w:rsidP="067745C8">
      <w:pPr>
        <w:spacing w:after="0"/>
        <w:jc w:val="center"/>
        <w:rPr>
          <w:rFonts w:ascii="Arial" w:hAnsi="Arial" w:cs="Arial"/>
          <w:sz w:val="20"/>
          <w:szCs w:val="20"/>
        </w:rPr>
      </w:pPr>
      <w:r w:rsidRPr="067745C8">
        <w:rPr>
          <w:rFonts w:ascii="Arial" w:hAnsi="Arial" w:cs="Arial"/>
          <w:sz w:val="20"/>
          <w:szCs w:val="20"/>
        </w:rPr>
        <w:t>5335 Kietzke Lane, Suite 110</w:t>
      </w:r>
    </w:p>
    <w:p w14:paraId="738958E1" w14:textId="77777777" w:rsidR="00B15542" w:rsidRPr="006F2596" w:rsidRDefault="00B15542" w:rsidP="067745C8">
      <w:pPr>
        <w:spacing w:after="0"/>
        <w:jc w:val="center"/>
        <w:rPr>
          <w:rFonts w:ascii="Arial" w:hAnsi="Arial" w:cs="Arial"/>
          <w:sz w:val="20"/>
          <w:szCs w:val="20"/>
          <w:lang w:val="pt-BR"/>
        </w:rPr>
      </w:pPr>
      <w:r w:rsidRPr="067745C8">
        <w:rPr>
          <w:rFonts w:ascii="Arial" w:hAnsi="Arial" w:cs="Arial"/>
          <w:sz w:val="20"/>
          <w:szCs w:val="20"/>
          <w:lang w:val="pt-BR"/>
        </w:rPr>
        <w:t>Reno, Nevada 89511</w:t>
      </w:r>
    </w:p>
    <w:p w14:paraId="772394AA" w14:textId="77777777" w:rsidR="00B15542" w:rsidRPr="006F2596" w:rsidRDefault="00B15542" w:rsidP="067745C8">
      <w:pPr>
        <w:spacing w:after="0"/>
        <w:jc w:val="center"/>
        <w:rPr>
          <w:rFonts w:ascii="Arial" w:hAnsi="Arial" w:cs="Arial"/>
          <w:sz w:val="20"/>
          <w:szCs w:val="20"/>
          <w:lang w:val="pt-BR"/>
        </w:rPr>
      </w:pPr>
      <w:r w:rsidRPr="067745C8">
        <w:rPr>
          <w:rFonts w:ascii="Arial" w:hAnsi="Arial" w:cs="Arial"/>
          <w:sz w:val="20"/>
          <w:szCs w:val="20"/>
          <w:lang w:val="pt-BR"/>
        </w:rPr>
        <w:t>(775) 332-4201   Fax: (775) 332-4210</w:t>
      </w:r>
    </w:p>
    <w:p w14:paraId="2B0B3160" w14:textId="77777777" w:rsidR="00B15542" w:rsidRPr="006F2596" w:rsidRDefault="00B15542" w:rsidP="067745C8">
      <w:pPr>
        <w:spacing w:after="0"/>
        <w:jc w:val="center"/>
        <w:rPr>
          <w:rFonts w:ascii="Arial" w:hAnsi="Arial" w:cs="Arial"/>
          <w:sz w:val="20"/>
          <w:szCs w:val="20"/>
          <w:u w:val="single"/>
          <w:lang w:val="pt-BR"/>
        </w:rPr>
      </w:pPr>
      <w:r w:rsidRPr="067745C8">
        <w:rPr>
          <w:rFonts w:ascii="Arial" w:hAnsi="Arial" w:cs="Arial"/>
          <w:sz w:val="20"/>
          <w:szCs w:val="20"/>
          <w:lang w:val="pt-BR"/>
        </w:rPr>
        <w:t xml:space="preserve"> </w:t>
      </w:r>
      <w:r w:rsidRPr="067745C8">
        <w:rPr>
          <w:rFonts w:ascii="Arial" w:hAnsi="Arial" w:cs="Arial"/>
          <w:sz w:val="20"/>
          <w:szCs w:val="20"/>
          <w:u w:val="single"/>
          <w:lang w:val="pt-BR"/>
        </w:rPr>
        <w:t>mbailey@excelsisaccounting com</w:t>
      </w:r>
    </w:p>
    <w:p w14:paraId="09B95EB3" w14:textId="02093F5A" w:rsidR="067745C8" w:rsidRDefault="067745C8" w:rsidP="067745C8">
      <w:pPr>
        <w:spacing w:after="0"/>
        <w:jc w:val="center"/>
        <w:rPr>
          <w:rFonts w:ascii="Arial" w:hAnsi="Arial" w:cs="Arial"/>
          <w:sz w:val="20"/>
          <w:szCs w:val="20"/>
          <w:u w:val="single"/>
          <w:lang w:val="pt-BR"/>
        </w:rPr>
      </w:pPr>
    </w:p>
    <w:p w14:paraId="6771EDD7" w14:textId="77777777" w:rsidR="00AD589A" w:rsidRPr="006F2596" w:rsidRDefault="00AD589A" w:rsidP="00AD589A">
      <w:pPr>
        <w:spacing w:after="0"/>
        <w:jc w:val="center"/>
        <w:rPr>
          <w:rFonts w:ascii="Arial" w:hAnsi="Arial" w:cs="Arial"/>
          <w:b/>
          <w:sz w:val="24"/>
          <w:szCs w:val="24"/>
          <w:u w:val="single"/>
          <w:lang w:val="pt-BR"/>
        </w:rPr>
      </w:pPr>
    </w:p>
    <w:p w14:paraId="53C1693B" w14:textId="2A0AE141" w:rsidR="00DD26BA" w:rsidRDefault="00DD26BA" w:rsidP="00DD26BA">
      <w:pPr>
        <w:rPr>
          <w:rFonts w:ascii="Arial" w:hAnsi="Arial" w:cs="Arial"/>
          <w:sz w:val="20"/>
          <w:szCs w:val="20"/>
        </w:rPr>
      </w:pPr>
      <w:r w:rsidRPr="067745C8">
        <w:rPr>
          <w:rFonts w:ascii="Arial" w:hAnsi="Arial" w:cs="Arial"/>
          <w:sz w:val="20"/>
          <w:szCs w:val="20"/>
        </w:rPr>
        <w:t>As Managing Partner of a medium sized accounting firm, Mark consults extensively with clients on business valuations, merger and acquisitions, tax planning, accounting, and management. He is involved with the legal community on an ongoing basis in areas of</w:t>
      </w:r>
      <w:r w:rsidR="00F24FCF" w:rsidRPr="067745C8">
        <w:rPr>
          <w:rFonts w:ascii="Arial" w:hAnsi="Arial" w:cs="Arial"/>
          <w:sz w:val="20"/>
          <w:szCs w:val="20"/>
        </w:rPr>
        <w:t xml:space="preserve"> family law, business valuation,</w:t>
      </w:r>
      <w:r w:rsidRPr="067745C8">
        <w:rPr>
          <w:rFonts w:ascii="Arial" w:hAnsi="Arial" w:cs="Arial"/>
          <w:sz w:val="20"/>
          <w:szCs w:val="20"/>
        </w:rPr>
        <w:t xml:space="preserve"> dissenti</w:t>
      </w:r>
      <w:r w:rsidR="00AD589A" w:rsidRPr="067745C8">
        <w:rPr>
          <w:rFonts w:ascii="Arial" w:hAnsi="Arial" w:cs="Arial"/>
          <w:sz w:val="20"/>
          <w:szCs w:val="20"/>
        </w:rPr>
        <w:t xml:space="preserve">ng shareholder action and other </w:t>
      </w:r>
      <w:r w:rsidR="00F24FCF" w:rsidRPr="067745C8">
        <w:rPr>
          <w:rFonts w:ascii="Arial" w:hAnsi="Arial" w:cs="Arial"/>
          <w:sz w:val="20"/>
          <w:szCs w:val="20"/>
        </w:rPr>
        <w:t>litigation support. He is</w:t>
      </w:r>
      <w:r w:rsidRPr="067745C8">
        <w:rPr>
          <w:rFonts w:ascii="Arial" w:hAnsi="Arial" w:cs="Arial"/>
          <w:sz w:val="20"/>
          <w:szCs w:val="20"/>
        </w:rPr>
        <w:t xml:space="preserve"> the lead audit partner on several of the firm’s largest audit engagements.</w:t>
      </w:r>
      <w:r w:rsidR="00926D32" w:rsidRPr="067745C8">
        <w:rPr>
          <w:rFonts w:ascii="Arial" w:hAnsi="Arial" w:cs="Arial"/>
          <w:sz w:val="20"/>
          <w:szCs w:val="20"/>
        </w:rPr>
        <w:t xml:space="preserve">  The company is a registered audit firm with the Public Company Accounting Oversight Board (PCAOB) to provide audit services for SEC registered firms.</w:t>
      </w:r>
    </w:p>
    <w:p w14:paraId="3DEED8BF" w14:textId="77777777" w:rsidR="00F24FCF" w:rsidRPr="00AD589A" w:rsidRDefault="00F24FCF" w:rsidP="00F24FCF">
      <w:pPr>
        <w:spacing w:before="240"/>
        <w:jc w:val="both"/>
        <w:rPr>
          <w:rFonts w:ascii="Arial" w:hAnsi="Arial" w:cs="Arial"/>
          <w:b/>
          <w:sz w:val="24"/>
          <w:szCs w:val="24"/>
          <w:u w:val="single"/>
        </w:rPr>
      </w:pPr>
      <w:r w:rsidRPr="00AD589A">
        <w:rPr>
          <w:rFonts w:ascii="Arial" w:hAnsi="Arial" w:cs="Arial"/>
          <w:b/>
          <w:sz w:val="24"/>
          <w:szCs w:val="24"/>
          <w:u w:val="single"/>
        </w:rPr>
        <w:t>Education</w:t>
      </w:r>
    </w:p>
    <w:p w14:paraId="0EFDE8D6" w14:textId="77777777" w:rsidR="00F24FCF" w:rsidRPr="00AD589A" w:rsidRDefault="00F24FCF" w:rsidP="00F24FCF">
      <w:pPr>
        <w:rPr>
          <w:rFonts w:ascii="Arial" w:hAnsi="Arial" w:cs="Arial"/>
          <w:sz w:val="20"/>
          <w:szCs w:val="20"/>
        </w:rPr>
      </w:pPr>
      <w:r w:rsidRPr="00AD589A">
        <w:rPr>
          <w:rFonts w:ascii="Arial" w:hAnsi="Arial" w:cs="Arial"/>
          <w:sz w:val="20"/>
          <w:szCs w:val="20"/>
        </w:rPr>
        <w:t>California Polytechnic State University, San Luis Obispo, California – Bachelor of Science in Business Administration and Accounting, 1976</w:t>
      </w:r>
    </w:p>
    <w:p w14:paraId="3DDA1E3A" w14:textId="77777777" w:rsidR="00B15542" w:rsidRPr="00AD589A" w:rsidRDefault="00B15542" w:rsidP="00B15542">
      <w:pPr>
        <w:jc w:val="both"/>
        <w:rPr>
          <w:rFonts w:ascii="Arial" w:hAnsi="Arial" w:cs="Arial"/>
          <w:b/>
          <w:sz w:val="24"/>
          <w:szCs w:val="24"/>
          <w:u w:val="single"/>
        </w:rPr>
      </w:pPr>
      <w:r w:rsidRPr="00AD589A">
        <w:rPr>
          <w:rFonts w:ascii="Arial" w:hAnsi="Arial" w:cs="Arial"/>
          <w:b/>
          <w:sz w:val="24"/>
          <w:szCs w:val="24"/>
          <w:u w:val="single"/>
        </w:rPr>
        <w:t>Certifications and Licenses</w:t>
      </w:r>
    </w:p>
    <w:p w14:paraId="73C671A8" w14:textId="77777777" w:rsidR="00431A28" w:rsidRPr="00AD589A" w:rsidRDefault="00431A28" w:rsidP="00AD589A">
      <w:pPr>
        <w:pStyle w:val="ListParagraph"/>
        <w:numPr>
          <w:ilvl w:val="0"/>
          <w:numId w:val="3"/>
        </w:numPr>
        <w:spacing w:after="0" w:line="240" w:lineRule="auto"/>
        <w:jc w:val="both"/>
        <w:rPr>
          <w:rFonts w:ascii="Arial" w:hAnsi="Arial" w:cs="Arial"/>
          <w:sz w:val="20"/>
          <w:szCs w:val="20"/>
        </w:rPr>
      </w:pPr>
      <w:r w:rsidRPr="00AD589A">
        <w:rPr>
          <w:rFonts w:ascii="Arial" w:hAnsi="Arial" w:cs="Arial"/>
          <w:sz w:val="20"/>
          <w:szCs w:val="20"/>
        </w:rPr>
        <w:t>Certified Public Accountant (CPA), licensed in California (License 26520E – September 29, 1978) and Nevada (License 1360R – May 24, 1984)</w:t>
      </w:r>
    </w:p>
    <w:p w14:paraId="1F032B07" w14:textId="77777777" w:rsidR="00431A28" w:rsidRDefault="00431A28" w:rsidP="00AD589A">
      <w:pPr>
        <w:pStyle w:val="ListParagraph"/>
        <w:numPr>
          <w:ilvl w:val="0"/>
          <w:numId w:val="3"/>
        </w:numPr>
        <w:spacing w:before="240" w:after="0" w:line="240" w:lineRule="auto"/>
        <w:jc w:val="both"/>
        <w:rPr>
          <w:rFonts w:ascii="Arial" w:hAnsi="Arial" w:cs="Arial"/>
          <w:sz w:val="20"/>
          <w:szCs w:val="20"/>
        </w:rPr>
      </w:pPr>
      <w:r w:rsidRPr="00AD589A">
        <w:rPr>
          <w:rFonts w:ascii="Arial" w:hAnsi="Arial" w:cs="Arial"/>
          <w:sz w:val="20"/>
          <w:szCs w:val="20"/>
        </w:rPr>
        <w:t>Accredited in Business Valuation (ABV) by the American Institute of Certified Public Accountants (certificate 0028 – accredited 1998)</w:t>
      </w:r>
    </w:p>
    <w:p w14:paraId="57965BB9" w14:textId="77777777" w:rsidR="00374349" w:rsidRPr="00AD589A" w:rsidRDefault="00374349" w:rsidP="00AD589A">
      <w:pPr>
        <w:pStyle w:val="ListParagraph"/>
        <w:numPr>
          <w:ilvl w:val="0"/>
          <w:numId w:val="3"/>
        </w:numPr>
        <w:spacing w:before="240" w:after="0" w:line="240" w:lineRule="auto"/>
        <w:jc w:val="both"/>
        <w:rPr>
          <w:rFonts w:ascii="Arial" w:hAnsi="Arial" w:cs="Arial"/>
          <w:sz w:val="20"/>
          <w:szCs w:val="20"/>
        </w:rPr>
      </w:pPr>
      <w:r>
        <w:rPr>
          <w:rFonts w:ascii="Arial" w:hAnsi="Arial" w:cs="Arial"/>
          <w:sz w:val="20"/>
          <w:szCs w:val="20"/>
        </w:rPr>
        <w:t xml:space="preserve">Certified in Entity and Intangible Valuation (CEIV) by the American Institute of Certified Public Accountants. </w:t>
      </w:r>
    </w:p>
    <w:p w14:paraId="3E499A2E" w14:textId="77777777" w:rsidR="00DD26BA" w:rsidRDefault="008A6B3F" w:rsidP="00E31150">
      <w:pPr>
        <w:pStyle w:val="ListParagraph"/>
        <w:numPr>
          <w:ilvl w:val="0"/>
          <w:numId w:val="3"/>
        </w:numPr>
        <w:spacing w:before="240" w:after="0" w:line="240" w:lineRule="auto"/>
        <w:jc w:val="both"/>
        <w:rPr>
          <w:rFonts w:ascii="Arial" w:hAnsi="Arial" w:cs="Arial"/>
          <w:sz w:val="20"/>
          <w:szCs w:val="20"/>
        </w:rPr>
      </w:pPr>
      <w:r w:rsidRPr="00AD589A">
        <w:rPr>
          <w:rFonts w:ascii="Arial" w:hAnsi="Arial" w:cs="Arial"/>
          <w:sz w:val="20"/>
          <w:szCs w:val="20"/>
        </w:rPr>
        <w:t>Certified in Financial Forensics (CFF) by the American Institute of Certified Public Accountants</w:t>
      </w:r>
    </w:p>
    <w:p w14:paraId="44051A07" w14:textId="47C83575" w:rsidR="000A719C" w:rsidRPr="00AD589A" w:rsidRDefault="002D125A" w:rsidP="00E31150">
      <w:pPr>
        <w:pStyle w:val="ListParagraph"/>
        <w:numPr>
          <w:ilvl w:val="0"/>
          <w:numId w:val="3"/>
        </w:numPr>
        <w:spacing w:before="240" w:after="0" w:line="240" w:lineRule="auto"/>
        <w:jc w:val="both"/>
        <w:rPr>
          <w:rFonts w:ascii="Arial" w:hAnsi="Arial" w:cs="Arial"/>
          <w:sz w:val="20"/>
          <w:szCs w:val="20"/>
        </w:rPr>
      </w:pPr>
      <w:r>
        <w:rPr>
          <w:rFonts w:ascii="Arial" w:hAnsi="Arial" w:cs="Arial"/>
          <w:sz w:val="20"/>
          <w:szCs w:val="20"/>
        </w:rPr>
        <w:t>Certified Merger and Acquisition Advisor (CM&amp;AA)</w:t>
      </w:r>
    </w:p>
    <w:p w14:paraId="28ACA59D" w14:textId="77777777" w:rsidR="00E31150" w:rsidRPr="00AD589A" w:rsidRDefault="00E31150" w:rsidP="00E31150">
      <w:pPr>
        <w:spacing w:before="240"/>
        <w:jc w:val="both"/>
        <w:rPr>
          <w:rFonts w:ascii="Arial" w:hAnsi="Arial" w:cs="Arial"/>
          <w:b/>
          <w:sz w:val="24"/>
          <w:szCs w:val="24"/>
          <w:u w:val="single"/>
        </w:rPr>
      </w:pPr>
      <w:r w:rsidRPr="00AD589A">
        <w:rPr>
          <w:rFonts w:ascii="Arial" w:hAnsi="Arial" w:cs="Arial"/>
          <w:b/>
          <w:sz w:val="24"/>
          <w:szCs w:val="24"/>
          <w:u w:val="single"/>
        </w:rPr>
        <w:t>Associations</w:t>
      </w:r>
    </w:p>
    <w:p w14:paraId="025A35C8" w14:textId="77777777" w:rsidR="00E31150" w:rsidRPr="00AD589A" w:rsidRDefault="00E31150" w:rsidP="00E31150">
      <w:pPr>
        <w:pStyle w:val="ListParagraph"/>
        <w:numPr>
          <w:ilvl w:val="0"/>
          <w:numId w:val="8"/>
        </w:numPr>
        <w:spacing w:before="240"/>
        <w:jc w:val="both"/>
        <w:rPr>
          <w:rFonts w:ascii="Arial" w:hAnsi="Arial" w:cs="Arial"/>
          <w:sz w:val="20"/>
          <w:szCs w:val="20"/>
        </w:rPr>
      </w:pPr>
      <w:r w:rsidRPr="00AD589A">
        <w:rPr>
          <w:rFonts w:ascii="Arial" w:hAnsi="Arial" w:cs="Arial"/>
          <w:sz w:val="20"/>
          <w:szCs w:val="20"/>
        </w:rPr>
        <w:t xml:space="preserve">American Institute of Certified Public Accountants (AICPA) </w:t>
      </w:r>
    </w:p>
    <w:p w14:paraId="59CDE08B" w14:textId="77777777" w:rsidR="00E31150" w:rsidRPr="00AD589A" w:rsidRDefault="00E31150" w:rsidP="00E31150">
      <w:pPr>
        <w:pStyle w:val="ListParagraph"/>
        <w:numPr>
          <w:ilvl w:val="0"/>
          <w:numId w:val="8"/>
        </w:numPr>
        <w:spacing w:before="240"/>
        <w:jc w:val="both"/>
        <w:rPr>
          <w:rFonts w:ascii="Arial" w:hAnsi="Arial" w:cs="Arial"/>
          <w:sz w:val="20"/>
          <w:szCs w:val="20"/>
        </w:rPr>
      </w:pPr>
      <w:r w:rsidRPr="067745C8">
        <w:rPr>
          <w:rFonts w:ascii="Arial" w:hAnsi="Arial" w:cs="Arial"/>
          <w:sz w:val="20"/>
          <w:szCs w:val="20"/>
        </w:rPr>
        <w:t>Nevada Society of Certified Public Accountants ( NSCPA)</w:t>
      </w:r>
    </w:p>
    <w:p w14:paraId="4A2C18C1" w14:textId="77777777" w:rsidR="00E31150" w:rsidRPr="00AD589A" w:rsidRDefault="00E31150" w:rsidP="00E31150">
      <w:pPr>
        <w:pStyle w:val="ListParagraph"/>
        <w:numPr>
          <w:ilvl w:val="0"/>
          <w:numId w:val="8"/>
        </w:numPr>
        <w:spacing w:before="240"/>
        <w:jc w:val="both"/>
        <w:rPr>
          <w:rFonts w:ascii="Arial" w:hAnsi="Arial" w:cs="Arial"/>
          <w:sz w:val="20"/>
          <w:szCs w:val="20"/>
        </w:rPr>
      </w:pPr>
      <w:r w:rsidRPr="067745C8">
        <w:rPr>
          <w:rFonts w:ascii="Arial" w:hAnsi="Arial" w:cs="Arial"/>
          <w:sz w:val="20"/>
          <w:szCs w:val="20"/>
        </w:rPr>
        <w:t xml:space="preserve">California Society of </w:t>
      </w:r>
      <w:r w:rsidR="00731ED2" w:rsidRPr="067745C8">
        <w:rPr>
          <w:rFonts w:ascii="Arial" w:hAnsi="Arial" w:cs="Arial"/>
          <w:sz w:val="20"/>
          <w:szCs w:val="20"/>
        </w:rPr>
        <w:t>Certified Public Accountants (Cal</w:t>
      </w:r>
      <w:r w:rsidRPr="067745C8">
        <w:rPr>
          <w:rFonts w:ascii="Arial" w:hAnsi="Arial" w:cs="Arial"/>
          <w:sz w:val="20"/>
          <w:szCs w:val="20"/>
        </w:rPr>
        <w:t>CPA)</w:t>
      </w:r>
    </w:p>
    <w:p w14:paraId="18BE6FF2" w14:textId="77777777" w:rsidR="00E31150" w:rsidRPr="00AD589A" w:rsidRDefault="00731ED2" w:rsidP="00E31150">
      <w:pPr>
        <w:pStyle w:val="ListParagraph"/>
        <w:numPr>
          <w:ilvl w:val="0"/>
          <w:numId w:val="8"/>
        </w:numPr>
        <w:spacing w:before="240"/>
        <w:jc w:val="both"/>
        <w:rPr>
          <w:rFonts w:ascii="Arial" w:hAnsi="Arial" w:cs="Arial"/>
          <w:sz w:val="20"/>
          <w:szCs w:val="20"/>
        </w:rPr>
      </w:pPr>
      <w:r w:rsidRPr="067745C8">
        <w:rPr>
          <w:rFonts w:ascii="Arial" w:hAnsi="Arial" w:cs="Arial"/>
          <w:sz w:val="20"/>
          <w:szCs w:val="20"/>
        </w:rPr>
        <w:t>Verasage Institute – F</w:t>
      </w:r>
      <w:r w:rsidR="00E31150" w:rsidRPr="067745C8">
        <w:rPr>
          <w:rFonts w:ascii="Arial" w:hAnsi="Arial" w:cs="Arial"/>
          <w:sz w:val="20"/>
          <w:szCs w:val="20"/>
        </w:rPr>
        <w:t>ellow</w:t>
      </w:r>
    </w:p>
    <w:p w14:paraId="5CD9437F" w14:textId="77777777" w:rsidR="00E31150" w:rsidRDefault="008A6B3F" w:rsidP="008A6B3F">
      <w:pPr>
        <w:pStyle w:val="ListParagraph"/>
        <w:numPr>
          <w:ilvl w:val="0"/>
          <w:numId w:val="8"/>
        </w:numPr>
        <w:spacing w:before="240"/>
        <w:jc w:val="both"/>
        <w:rPr>
          <w:rFonts w:ascii="Arial" w:hAnsi="Arial" w:cs="Arial"/>
          <w:sz w:val="20"/>
          <w:szCs w:val="20"/>
        </w:rPr>
      </w:pPr>
      <w:r w:rsidRPr="00AD589A">
        <w:rPr>
          <w:rFonts w:ascii="Arial" w:hAnsi="Arial" w:cs="Arial"/>
          <w:sz w:val="20"/>
          <w:szCs w:val="20"/>
        </w:rPr>
        <w:t>National Association of Certified Valuation Analysts</w:t>
      </w:r>
      <w:r w:rsidR="00E31150" w:rsidRPr="00AD589A">
        <w:rPr>
          <w:rFonts w:ascii="Arial" w:hAnsi="Arial" w:cs="Arial"/>
          <w:sz w:val="20"/>
          <w:szCs w:val="20"/>
        </w:rPr>
        <w:t xml:space="preserve"> (NACVA)</w:t>
      </w:r>
      <w:r w:rsidRPr="00AD589A">
        <w:rPr>
          <w:rFonts w:ascii="Arial" w:hAnsi="Arial" w:cs="Arial"/>
          <w:sz w:val="20"/>
          <w:szCs w:val="20"/>
        </w:rPr>
        <w:t xml:space="preserve"> – member (December 23, 1997)</w:t>
      </w:r>
    </w:p>
    <w:p w14:paraId="6E6EA953" w14:textId="544F6D65" w:rsidR="00134C89" w:rsidRPr="00AD589A" w:rsidRDefault="000A719C" w:rsidP="008A6B3F">
      <w:pPr>
        <w:pStyle w:val="ListParagraph"/>
        <w:numPr>
          <w:ilvl w:val="0"/>
          <w:numId w:val="8"/>
        </w:numPr>
        <w:spacing w:before="240"/>
        <w:jc w:val="both"/>
        <w:rPr>
          <w:rFonts w:ascii="Arial" w:hAnsi="Arial" w:cs="Arial"/>
          <w:sz w:val="20"/>
          <w:szCs w:val="20"/>
        </w:rPr>
      </w:pPr>
      <w:r w:rsidRPr="067745C8">
        <w:rPr>
          <w:rFonts w:ascii="Arial" w:hAnsi="Arial" w:cs="Arial"/>
          <w:sz w:val="20"/>
          <w:szCs w:val="20"/>
        </w:rPr>
        <w:t>Alliance of Merger and Acquisition Advisors (AM&amp;AA)</w:t>
      </w:r>
    </w:p>
    <w:p w14:paraId="15FF3BE7" w14:textId="76D0ACB2" w:rsidR="008A6B3F" w:rsidRPr="00AD589A" w:rsidRDefault="008A6B3F" w:rsidP="067745C8">
      <w:pPr>
        <w:spacing w:before="240"/>
        <w:jc w:val="both"/>
        <w:rPr>
          <w:rFonts w:ascii="Arial" w:hAnsi="Arial" w:cs="Arial"/>
          <w:b/>
          <w:bCs/>
          <w:sz w:val="24"/>
          <w:szCs w:val="24"/>
          <w:u w:val="single"/>
        </w:rPr>
      </w:pPr>
      <w:r w:rsidRPr="067745C8">
        <w:rPr>
          <w:rFonts w:ascii="Arial" w:hAnsi="Arial" w:cs="Arial"/>
          <w:b/>
          <w:bCs/>
          <w:sz w:val="24"/>
          <w:szCs w:val="24"/>
          <w:u w:val="single"/>
        </w:rPr>
        <w:t>Experience</w:t>
      </w:r>
    </w:p>
    <w:p w14:paraId="7BA9BB72" w14:textId="77777777" w:rsidR="00A413A5" w:rsidRPr="00AD589A" w:rsidRDefault="00A413A5" w:rsidP="067745C8">
      <w:pPr>
        <w:spacing w:before="240"/>
        <w:jc w:val="both"/>
        <w:rPr>
          <w:rFonts w:ascii="Arial" w:hAnsi="Arial" w:cs="Arial"/>
        </w:rPr>
      </w:pPr>
      <w:r w:rsidRPr="067745C8">
        <w:rPr>
          <w:rFonts w:ascii="Arial" w:hAnsi="Arial" w:cs="Arial"/>
          <w:sz w:val="20"/>
          <w:szCs w:val="20"/>
        </w:rPr>
        <w:t>1984 to present – managing partner of Excelsis Accounting Group; services include forensic and valuation, business litigation support, public and private company audit, domestic and international tax consulting and preparation, and management consulting.</w:t>
      </w:r>
      <w:r w:rsidR="00DC2431" w:rsidRPr="067745C8">
        <w:rPr>
          <w:rFonts w:ascii="Arial" w:hAnsi="Arial" w:cs="Arial"/>
          <w:sz w:val="20"/>
          <w:szCs w:val="20"/>
        </w:rPr>
        <w:t xml:space="preserve">  Lecturer – University of Nevada, Reno – “Starting and Running a Profitable Small Business”.</w:t>
      </w:r>
    </w:p>
    <w:p w14:paraId="3988FCE6" w14:textId="77777777" w:rsidR="00A413A5" w:rsidRPr="00AD589A" w:rsidRDefault="00A413A5" w:rsidP="00AD589A">
      <w:pPr>
        <w:pStyle w:val="ListParagraph"/>
        <w:numPr>
          <w:ilvl w:val="0"/>
          <w:numId w:val="4"/>
        </w:numPr>
        <w:spacing w:before="240" w:line="240" w:lineRule="auto"/>
        <w:jc w:val="both"/>
        <w:rPr>
          <w:rFonts w:ascii="Arial" w:hAnsi="Arial" w:cs="Arial"/>
          <w:sz w:val="20"/>
          <w:szCs w:val="20"/>
        </w:rPr>
      </w:pPr>
      <w:r w:rsidRPr="067745C8">
        <w:rPr>
          <w:rFonts w:ascii="Arial" w:hAnsi="Arial" w:cs="Arial"/>
          <w:sz w:val="20"/>
          <w:szCs w:val="20"/>
        </w:rPr>
        <w:t>1978 to 1984 – client service partner Gerrish, Olson, Cantrell and Bailey CPA’s</w:t>
      </w:r>
      <w:r w:rsidR="00752970" w:rsidRPr="067745C8">
        <w:rPr>
          <w:rFonts w:ascii="Arial" w:hAnsi="Arial" w:cs="Arial"/>
          <w:sz w:val="20"/>
          <w:szCs w:val="20"/>
        </w:rPr>
        <w:t xml:space="preserve"> – focused on family law and business litigation support</w:t>
      </w:r>
    </w:p>
    <w:p w14:paraId="575AE064" w14:textId="77777777" w:rsidR="00752970" w:rsidRPr="00AD589A" w:rsidRDefault="00752970" w:rsidP="00AD589A">
      <w:pPr>
        <w:pStyle w:val="ListParagraph"/>
        <w:numPr>
          <w:ilvl w:val="0"/>
          <w:numId w:val="4"/>
        </w:numPr>
        <w:spacing w:before="240" w:line="240" w:lineRule="auto"/>
        <w:jc w:val="both"/>
        <w:rPr>
          <w:rFonts w:ascii="Arial" w:hAnsi="Arial" w:cs="Arial"/>
          <w:sz w:val="20"/>
          <w:szCs w:val="20"/>
        </w:rPr>
      </w:pPr>
      <w:r w:rsidRPr="067745C8">
        <w:rPr>
          <w:rFonts w:ascii="Arial" w:hAnsi="Arial" w:cs="Arial"/>
          <w:sz w:val="20"/>
          <w:szCs w:val="20"/>
        </w:rPr>
        <w:lastRenderedPageBreak/>
        <w:t>1976 to 1978 – Arthur Young and Company (Ernst and Young) Los Angeles,  senior accountant for bank audits and manufacturing companies</w:t>
      </w:r>
    </w:p>
    <w:p w14:paraId="63FB7DCD" w14:textId="7582C373" w:rsidR="00DD26BA" w:rsidRPr="00926D32" w:rsidRDefault="00752970" w:rsidP="00731ED2">
      <w:pPr>
        <w:pStyle w:val="ListParagraph"/>
        <w:numPr>
          <w:ilvl w:val="0"/>
          <w:numId w:val="4"/>
        </w:numPr>
        <w:spacing w:before="240" w:line="240" w:lineRule="auto"/>
        <w:jc w:val="both"/>
        <w:rPr>
          <w:rFonts w:ascii="Arial" w:hAnsi="Arial" w:cs="Arial"/>
          <w:b/>
          <w:sz w:val="20"/>
          <w:szCs w:val="20"/>
          <w:u w:val="single"/>
        </w:rPr>
      </w:pPr>
      <w:r w:rsidRPr="00926D32">
        <w:rPr>
          <w:rFonts w:ascii="Arial" w:hAnsi="Arial" w:cs="Arial"/>
          <w:sz w:val="20"/>
          <w:szCs w:val="20"/>
        </w:rPr>
        <w:t xml:space="preserve">1972 to 1976 – Mid State Bank, San Luis </w:t>
      </w:r>
      <w:r w:rsidR="00A20DBB" w:rsidRPr="00926D32">
        <w:rPr>
          <w:rFonts w:ascii="Arial" w:hAnsi="Arial" w:cs="Arial"/>
          <w:sz w:val="20"/>
          <w:szCs w:val="20"/>
        </w:rPr>
        <w:t>Obispo</w:t>
      </w:r>
      <w:r w:rsidRPr="00926D32">
        <w:rPr>
          <w:rFonts w:ascii="Arial" w:hAnsi="Arial" w:cs="Arial"/>
          <w:sz w:val="20"/>
          <w:szCs w:val="20"/>
        </w:rPr>
        <w:t xml:space="preserve">, </w:t>
      </w:r>
      <w:r w:rsidR="00AD589A" w:rsidRPr="00926D32">
        <w:rPr>
          <w:rFonts w:ascii="Arial" w:hAnsi="Arial" w:cs="Arial"/>
          <w:sz w:val="20"/>
          <w:szCs w:val="20"/>
        </w:rPr>
        <w:t>California – Operations officer</w:t>
      </w:r>
    </w:p>
    <w:p w14:paraId="349112FB" w14:textId="2B6DADFF" w:rsidR="00926D32" w:rsidRPr="00926D32" w:rsidRDefault="00926D32" w:rsidP="00731ED2">
      <w:pPr>
        <w:pStyle w:val="ListParagraph"/>
        <w:numPr>
          <w:ilvl w:val="0"/>
          <w:numId w:val="4"/>
        </w:numPr>
        <w:spacing w:before="240" w:line="240" w:lineRule="auto"/>
        <w:jc w:val="both"/>
        <w:rPr>
          <w:rFonts w:ascii="Arial" w:hAnsi="Arial" w:cs="Arial"/>
          <w:b/>
          <w:sz w:val="20"/>
          <w:szCs w:val="20"/>
          <w:u w:val="single"/>
        </w:rPr>
      </w:pPr>
      <w:r>
        <w:rPr>
          <w:rFonts w:ascii="Arial" w:hAnsi="Arial" w:cs="Arial"/>
          <w:sz w:val="20"/>
          <w:szCs w:val="20"/>
        </w:rPr>
        <w:t>1968 to 1971 – United States Army – commissioned officer – Viet Nam service</w:t>
      </w:r>
    </w:p>
    <w:p w14:paraId="4215FEAF" w14:textId="77777777" w:rsidR="004B039C" w:rsidRPr="00AD589A" w:rsidRDefault="004B039C" w:rsidP="004B039C">
      <w:pPr>
        <w:spacing w:before="240"/>
        <w:jc w:val="both"/>
        <w:rPr>
          <w:rFonts w:ascii="Arial" w:hAnsi="Arial" w:cs="Arial"/>
          <w:b/>
          <w:sz w:val="24"/>
          <w:szCs w:val="24"/>
          <w:u w:val="single"/>
        </w:rPr>
      </w:pPr>
      <w:r w:rsidRPr="00AD589A">
        <w:rPr>
          <w:rFonts w:ascii="Arial" w:hAnsi="Arial" w:cs="Arial"/>
          <w:b/>
          <w:sz w:val="24"/>
          <w:szCs w:val="24"/>
          <w:u w:val="single"/>
        </w:rPr>
        <w:t>Practice Areas</w:t>
      </w:r>
    </w:p>
    <w:p w14:paraId="60D857EA" w14:textId="77777777" w:rsidR="007A7AFB" w:rsidRPr="00AD589A" w:rsidRDefault="004B039C" w:rsidP="007A7AFB">
      <w:pPr>
        <w:pStyle w:val="ListParagraph"/>
        <w:numPr>
          <w:ilvl w:val="0"/>
          <w:numId w:val="5"/>
        </w:numPr>
        <w:spacing w:before="240"/>
        <w:jc w:val="both"/>
        <w:rPr>
          <w:rFonts w:ascii="Arial" w:hAnsi="Arial" w:cs="Arial"/>
          <w:sz w:val="20"/>
          <w:szCs w:val="20"/>
        </w:rPr>
      </w:pPr>
      <w:r w:rsidRPr="067745C8">
        <w:rPr>
          <w:rFonts w:ascii="Arial" w:hAnsi="Arial" w:cs="Arial"/>
          <w:b/>
          <w:bCs/>
          <w:sz w:val="20"/>
          <w:szCs w:val="20"/>
        </w:rPr>
        <w:t>Marital Dissolution</w:t>
      </w:r>
      <w:r w:rsidRPr="067745C8">
        <w:rPr>
          <w:rFonts w:ascii="Arial" w:hAnsi="Arial" w:cs="Arial"/>
          <w:sz w:val="20"/>
          <w:szCs w:val="20"/>
        </w:rPr>
        <w:t xml:space="preserve"> – business valuation and testimony, income determination for spousal support</w:t>
      </w:r>
      <w:r w:rsidR="005D2D8E" w:rsidRPr="067745C8">
        <w:rPr>
          <w:rFonts w:ascii="Arial" w:hAnsi="Arial" w:cs="Arial"/>
          <w:sz w:val="20"/>
          <w:szCs w:val="20"/>
        </w:rPr>
        <w:t>;</w:t>
      </w:r>
      <w:r w:rsidR="007940AF" w:rsidRPr="067745C8">
        <w:rPr>
          <w:rFonts w:ascii="Arial" w:hAnsi="Arial" w:cs="Arial"/>
          <w:sz w:val="20"/>
          <w:szCs w:val="20"/>
        </w:rPr>
        <w:t xml:space="preserve"> allocation calculations o</w:t>
      </w:r>
      <w:r w:rsidR="005D2D8E" w:rsidRPr="067745C8">
        <w:rPr>
          <w:rFonts w:ascii="Arial" w:hAnsi="Arial" w:cs="Arial"/>
          <w:sz w:val="20"/>
          <w:szCs w:val="20"/>
        </w:rPr>
        <w:t>f separate and community assets;</w:t>
      </w:r>
      <w:r w:rsidR="007940AF" w:rsidRPr="067745C8">
        <w:rPr>
          <w:rFonts w:ascii="Arial" w:hAnsi="Arial" w:cs="Arial"/>
          <w:sz w:val="20"/>
          <w:szCs w:val="20"/>
        </w:rPr>
        <w:t xml:space="preserve"> hidden asset searches</w:t>
      </w:r>
      <w:r w:rsidR="00D63CD2" w:rsidRPr="067745C8">
        <w:rPr>
          <w:rFonts w:ascii="Arial" w:hAnsi="Arial" w:cs="Arial"/>
          <w:sz w:val="20"/>
          <w:szCs w:val="20"/>
        </w:rPr>
        <w:t>;</w:t>
      </w:r>
      <w:r w:rsidR="007940AF" w:rsidRPr="067745C8">
        <w:rPr>
          <w:rFonts w:ascii="Arial" w:hAnsi="Arial" w:cs="Arial"/>
          <w:sz w:val="20"/>
          <w:szCs w:val="20"/>
        </w:rPr>
        <w:t xml:space="preserve"> and asset, liability and income valuation and division.</w:t>
      </w:r>
    </w:p>
    <w:p w14:paraId="66B18BC4" w14:textId="77777777" w:rsidR="007A7AFB" w:rsidRPr="00AD589A" w:rsidRDefault="007A7AFB" w:rsidP="007A7AFB">
      <w:pPr>
        <w:pStyle w:val="ListParagraph"/>
        <w:spacing w:before="240"/>
        <w:jc w:val="both"/>
        <w:rPr>
          <w:rFonts w:ascii="Arial" w:hAnsi="Arial" w:cs="Arial"/>
          <w:sz w:val="20"/>
          <w:szCs w:val="20"/>
        </w:rPr>
      </w:pPr>
    </w:p>
    <w:p w14:paraId="444BBD4A" w14:textId="77777777" w:rsidR="007A7AFB" w:rsidRPr="00AD589A" w:rsidRDefault="007A7AFB" w:rsidP="00AD589A">
      <w:pPr>
        <w:pStyle w:val="ListParagraph"/>
        <w:numPr>
          <w:ilvl w:val="0"/>
          <w:numId w:val="5"/>
        </w:numPr>
        <w:spacing w:before="240"/>
        <w:jc w:val="both"/>
        <w:rPr>
          <w:rFonts w:ascii="Arial" w:hAnsi="Arial" w:cs="Arial"/>
          <w:sz w:val="20"/>
          <w:szCs w:val="20"/>
        </w:rPr>
      </w:pPr>
      <w:r w:rsidRPr="067745C8">
        <w:rPr>
          <w:rFonts w:ascii="Arial" w:hAnsi="Arial" w:cs="Arial"/>
          <w:b/>
          <w:bCs/>
          <w:sz w:val="20"/>
          <w:szCs w:val="20"/>
        </w:rPr>
        <w:t>Litigation, Valuation and Consulting</w:t>
      </w:r>
      <w:r w:rsidRPr="067745C8">
        <w:rPr>
          <w:rFonts w:ascii="Arial" w:hAnsi="Arial" w:cs="Arial"/>
          <w:sz w:val="20"/>
          <w:szCs w:val="20"/>
        </w:rPr>
        <w:t xml:space="preserve"> – business valu</w:t>
      </w:r>
      <w:r w:rsidR="005D2D8E" w:rsidRPr="067745C8">
        <w:rPr>
          <w:rFonts w:ascii="Arial" w:hAnsi="Arial" w:cs="Arial"/>
          <w:sz w:val="20"/>
          <w:szCs w:val="20"/>
        </w:rPr>
        <w:t>ation in merger and acquisition; business dissolution; damage calculations;</w:t>
      </w:r>
      <w:r w:rsidRPr="067745C8">
        <w:rPr>
          <w:rFonts w:ascii="Arial" w:hAnsi="Arial" w:cs="Arial"/>
          <w:sz w:val="20"/>
          <w:szCs w:val="20"/>
        </w:rPr>
        <w:t xml:space="preserve"> facilitation of st</w:t>
      </w:r>
      <w:r w:rsidR="005D2D8E" w:rsidRPr="067745C8">
        <w:rPr>
          <w:rFonts w:ascii="Arial" w:hAnsi="Arial" w:cs="Arial"/>
          <w:sz w:val="20"/>
          <w:szCs w:val="20"/>
        </w:rPr>
        <w:t>rategic plans and SWOT analyses;</w:t>
      </w:r>
      <w:r w:rsidRPr="067745C8">
        <w:rPr>
          <w:rFonts w:ascii="Arial" w:hAnsi="Arial" w:cs="Arial"/>
          <w:sz w:val="20"/>
          <w:szCs w:val="20"/>
        </w:rPr>
        <w:t xml:space="preserve"> corporate re-or</w:t>
      </w:r>
      <w:r w:rsidR="005D2D8E" w:rsidRPr="067745C8">
        <w:rPr>
          <w:rFonts w:ascii="Arial" w:hAnsi="Arial" w:cs="Arial"/>
          <w:sz w:val="20"/>
          <w:szCs w:val="20"/>
        </w:rPr>
        <w:t>ganization and recapitalization; SEC valuation; impairment analysis;</w:t>
      </w:r>
      <w:r w:rsidRPr="067745C8">
        <w:rPr>
          <w:rFonts w:ascii="Arial" w:hAnsi="Arial" w:cs="Arial"/>
          <w:sz w:val="20"/>
          <w:szCs w:val="20"/>
        </w:rPr>
        <w:t xml:space="preserve"> valuation of closely held busin</w:t>
      </w:r>
      <w:r w:rsidR="005D2D8E" w:rsidRPr="067745C8">
        <w:rPr>
          <w:rFonts w:ascii="Arial" w:hAnsi="Arial" w:cs="Arial"/>
          <w:sz w:val="20"/>
          <w:szCs w:val="20"/>
        </w:rPr>
        <w:t>esses; and,</w:t>
      </w:r>
      <w:r w:rsidRPr="067745C8">
        <w:rPr>
          <w:rFonts w:ascii="Arial" w:hAnsi="Arial" w:cs="Arial"/>
          <w:sz w:val="20"/>
          <w:szCs w:val="20"/>
        </w:rPr>
        <w:t xml:space="preserve"> valuation of closely held equity securities.</w:t>
      </w:r>
    </w:p>
    <w:p w14:paraId="28A9869E" w14:textId="77777777" w:rsidR="004B039C" w:rsidRPr="00AD589A" w:rsidRDefault="007A7AFB" w:rsidP="00AD589A">
      <w:pPr>
        <w:spacing w:before="240"/>
        <w:jc w:val="both"/>
        <w:rPr>
          <w:rFonts w:ascii="Arial" w:hAnsi="Arial" w:cs="Arial"/>
          <w:sz w:val="20"/>
          <w:szCs w:val="20"/>
        </w:rPr>
      </w:pPr>
      <w:r w:rsidRPr="067745C8">
        <w:rPr>
          <w:rFonts w:ascii="Arial" w:hAnsi="Arial" w:cs="Arial"/>
          <w:sz w:val="20"/>
          <w:szCs w:val="20"/>
        </w:rPr>
        <w:t>Mr. Bailey has testified as an expert in multiple jurisdictions in California and Nevada.  In addition to being a court appointed expert he has been retained as a</w:t>
      </w:r>
      <w:r w:rsidR="005D2D8E" w:rsidRPr="067745C8">
        <w:rPr>
          <w:rFonts w:ascii="Arial" w:hAnsi="Arial" w:cs="Arial"/>
          <w:sz w:val="20"/>
          <w:szCs w:val="20"/>
        </w:rPr>
        <w:t xml:space="preserve"> litigation</w:t>
      </w:r>
      <w:r w:rsidRPr="067745C8">
        <w:rPr>
          <w:rFonts w:ascii="Arial" w:hAnsi="Arial" w:cs="Arial"/>
          <w:sz w:val="20"/>
          <w:szCs w:val="20"/>
        </w:rPr>
        <w:t xml:space="preserve"> consultant,</w:t>
      </w:r>
      <w:r w:rsidR="0056367D" w:rsidRPr="067745C8">
        <w:rPr>
          <w:rFonts w:ascii="Arial" w:hAnsi="Arial" w:cs="Arial"/>
          <w:sz w:val="20"/>
          <w:szCs w:val="20"/>
        </w:rPr>
        <w:t xml:space="preserve"> and</w:t>
      </w:r>
      <w:r w:rsidRPr="067745C8">
        <w:rPr>
          <w:rFonts w:ascii="Arial" w:hAnsi="Arial" w:cs="Arial"/>
          <w:sz w:val="20"/>
          <w:szCs w:val="20"/>
        </w:rPr>
        <w:t xml:space="preserve"> </w:t>
      </w:r>
      <w:r w:rsidR="0056367D" w:rsidRPr="067745C8">
        <w:rPr>
          <w:rFonts w:ascii="Arial" w:hAnsi="Arial" w:cs="Arial"/>
          <w:sz w:val="20"/>
          <w:szCs w:val="20"/>
        </w:rPr>
        <w:t>mutually agreed upon expert.</w:t>
      </w:r>
    </w:p>
    <w:p w14:paraId="0A9E20DC" w14:textId="77777777" w:rsidR="00DD26BA" w:rsidRPr="00D63CD2" w:rsidRDefault="00DD26BA" w:rsidP="00DD26BA">
      <w:pPr>
        <w:rPr>
          <w:rFonts w:ascii="Arial" w:hAnsi="Arial" w:cs="Arial"/>
          <w:b/>
          <w:sz w:val="24"/>
          <w:szCs w:val="24"/>
          <w:u w:val="single"/>
        </w:rPr>
      </w:pPr>
      <w:r w:rsidRPr="00D63CD2">
        <w:rPr>
          <w:rFonts w:ascii="Arial" w:hAnsi="Arial" w:cs="Arial"/>
          <w:b/>
          <w:sz w:val="24"/>
          <w:szCs w:val="24"/>
          <w:u w:val="single"/>
        </w:rPr>
        <w:t>Publications and Speaking</w:t>
      </w:r>
    </w:p>
    <w:p w14:paraId="6F5F5A02" w14:textId="77777777" w:rsidR="00DD26BA" w:rsidRDefault="00DD26BA" w:rsidP="00DD26BA">
      <w:pPr>
        <w:pStyle w:val="NormalWeb"/>
        <w:rPr>
          <w:rFonts w:ascii="Arial" w:hAnsi="Arial" w:cs="Arial"/>
          <w:sz w:val="20"/>
          <w:szCs w:val="20"/>
        </w:rPr>
      </w:pPr>
      <w:r w:rsidRPr="067745C8">
        <w:rPr>
          <w:rFonts w:ascii="Arial" w:hAnsi="Arial" w:cs="Arial"/>
          <w:sz w:val="20"/>
          <w:szCs w:val="20"/>
        </w:rPr>
        <w:t>Author: Innovative Practice Management: Turnin</w:t>
      </w:r>
      <w:r w:rsidR="00AD589A" w:rsidRPr="067745C8">
        <w:rPr>
          <w:rFonts w:ascii="Arial" w:hAnsi="Arial" w:cs="Arial"/>
          <w:sz w:val="20"/>
          <w:szCs w:val="20"/>
        </w:rPr>
        <w:t xml:space="preserve">g the Profession on its Head, a </w:t>
      </w:r>
      <w:r w:rsidRPr="067745C8">
        <w:rPr>
          <w:rFonts w:ascii="Arial" w:hAnsi="Arial" w:cs="Arial"/>
          <w:sz w:val="20"/>
          <w:szCs w:val="20"/>
        </w:rPr>
        <w:t>blog to inspire other professionals to challenge the status quo. Gray Matters:  A Pro</w:t>
      </w:r>
      <w:r w:rsidR="00AD589A" w:rsidRPr="067745C8">
        <w:rPr>
          <w:rFonts w:ascii="Arial" w:hAnsi="Arial" w:cs="Arial"/>
          <w:sz w:val="20"/>
          <w:szCs w:val="20"/>
        </w:rPr>
        <w:t xml:space="preserve">fessional and Technical blog. </w:t>
      </w:r>
      <w:r w:rsidRPr="067745C8">
        <w:rPr>
          <w:rFonts w:ascii="Arial" w:hAnsi="Arial" w:cs="Arial"/>
          <w:sz w:val="20"/>
          <w:szCs w:val="20"/>
        </w:rPr>
        <w:t>Published in a variety of professional periodicals. Lecturer at the university level and speaker for various accounting and legal organizations</w:t>
      </w:r>
      <w:r w:rsidR="00D63CD2" w:rsidRPr="067745C8">
        <w:rPr>
          <w:rFonts w:ascii="Arial" w:hAnsi="Arial" w:cs="Arial"/>
          <w:sz w:val="20"/>
          <w:szCs w:val="20"/>
        </w:rPr>
        <w:t>.</w:t>
      </w:r>
    </w:p>
    <w:p w14:paraId="380CE082" w14:textId="77777777" w:rsidR="00E427AE" w:rsidRDefault="009B4F9D" w:rsidP="00DD26BA">
      <w:pPr>
        <w:pStyle w:val="NormalWeb"/>
        <w:rPr>
          <w:rFonts w:ascii="Arial" w:hAnsi="Arial" w:cs="Arial"/>
          <w:sz w:val="20"/>
          <w:szCs w:val="20"/>
        </w:rPr>
      </w:pPr>
      <w:r w:rsidRPr="067745C8">
        <w:rPr>
          <w:rFonts w:ascii="Arial" w:hAnsi="Arial" w:cs="Arial"/>
          <w:sz w:val="20"/>
          <w:szCs w:val="20"/>
        </w:rPr>
        <w:t xml:space="preserve">“Litigation Support and Valuation Fundamentals”, </w:t>
      </w:r>
      <w:r w:rsidR="00E427AE" w:rsidRPr="067745C8">
        <w:rPr>
          <w:rFonts w:ascii="Arial" w:hAnsi="Arial" w:cs="Arial"/>
          <w:i/>
          <w:iCs/>
          <w:sz w:val="20"/>
          <w:szCs w:val="20"/>
        </w:rPr>
        <w:t xml:space="preserve">Nevada Family Law Report </w:t>
      </w:r>
      <w:r w:rsidR="00E427AE" w:rsidRPr="067745C8">
        <w:rPr>
          <w:rFonts w:ascii="Arial" w:hAnsi="Arial" w:cs="Arial"/>
          <w:sz w:val="20"/>
          <w:szCs w:val="20"/>
        </w:rPr>
        <w:t>–– Fall 2016 Volume 29, Issue 4</w:t>
      </w:r>
    </w:p>
    <w:p w14:paraId="610DB6B6" w14:textId="77777777" w:rsidR="009163C3" w:rsidRDefault="009163C3" w:rsidP="00DD26BA">
      <w:pPr>
        <w:pStyle w:val="NormalWeb"/>
        <w:rPr>
          <w:rFonts w:ascii="Arial" w:hAnsi="Arial" w:cs="Arial"/>
          <w:sz w:val="20"/>
          <w:szCs w:val="20"/>
        </w:rPr>
      </w:pPr>
      <w:r w:rsidRPr="067745C8">
        <w:rPr>
          <w:rFonts w:ascii="Arial" w:hAnsi="Arial" w:cs="Arial"/>
          <w:sz w:val="20"/>
          <w:szCs w:val="20"/>
        </w:rPr>
        <w:t xml:space="preserve">“Small Business Fraud:  Detection and Prevention”,  </w:t>
      </w:r>
      <w:r w:rsidRPr="067745C8">
        <w:rPr>
          <w:rFonts w:ascii="Arial" w:hAnsi="Arial" w:cs="Arial"/>
          <w:i/>
          <w:iCs/>
          <w:sz w:val="20"/>
          <w:szCs w:val="20"/>
        </w:rPr>
        <w:t xml:space="preserve">Nevada Business Magazine </w:t>
      </w:r>
      <w:r w:rsidRPr="067745C8">
        <w:rPr>
          <w:rFonts w:ascii="Arial" w:hAnsi="Arial" w:cs="Arial"/>
          <w:sz w:val="20"/>
          <w:szCs w:val="20"/>
        </w:rPr>
        <w:t>---- August 1, 2018</w:t>
      </w:r>
    </w:p>
    <w:p w14:paraId="2D470621" w14:textId="61441CF5" w:rsidR="00A8107C" w:rsidRDefault="007A2167" w:rsidP="00DD26BA">
      <w:pPr>
        <w:pStyle w:val="NormalWeb"/>
        <w:rPr>
          <w:rFonts w:ascii="Arial" w:hAnsi="Arial" w:cs="Arial"/>
          <w:sz w:val="20"/>
          <w:szCs w:val="20"/>
        </w:rPr>
      </w:pPr>
      <w:r w:rsidRPr="067745C8">
        <w:rPr>
          <w:rFonts w:ascii="Arial" w:hAnsi="Arial" w:cs="Arial"/>
          <w:sz w:val="20"/>
          <w:szCs w:val="20"/>
        </w:rPr>
        <w:t>"</w:t>
      </w:r>
      <w:r w:rsidR="00A060D2" w:rsidRPr="067745C8">
        <w:rPr>
          <w:rFonts w:ascii="Arial" w:hAnsi="Arial" w:cs="Arial"/>
          <w:sz w:val="20"/>
          <w:szCs w:val="20"/>
        </w:rPr>
        <w:t>Ford v Ford and Business Valuation"</w:t>
      </w:r>
      <w:r w:rsidRPr="067745C8">
        <w:rPr>
          <w:rFonts w:ascii="Arial" w:hAnsi="Arial" w:cs="Arial"/>
          <w:sz w:val="20"/>
          <w:szCs w:val="20"/>
        </w:rPr>
        <w:t xml:space="preserve"> , </w:t>
      </w:r>
      <w:r w:rsidR="00DC05B3" w:rsidRPr="067745C8">
        <w:rPr>
          <w:rFonts w:ascii="Arial" w:hAnsi="Arial" w:cs="Arial"/>
          <w:sz w:val="20"/>
          <w:szCs w:val="20"/>
        </w:rPr>
        <w:t xml:space="preserve">Nevada Advanced Family Law Conference, Las Vegas, </w:t>
      </w:r>
      <w:r w:rsidR="00045B31" w:rsidRPr="067745C8">
        <w:rPr>
          <w:rFonts w:ascii="Arial" w:hAnsi="Arial" w:cs="Arial"/>
          <w:sz w:val="20"/>
          <w:szCs w:val="20"/>
        </w:rPr>
        <w:t>December 1, 2022</w:t>
      </w:r>
    </w:p>
    <w:p w14:paraId="67718590" w14:textId="779E7E33" w:rsidR="00045B31" w:rsidRPr="009163C3" w:rsidRDefault="00CF72B8" w:rsidP="00DD26BA">
      <w:pPr>
        <w:pStyle w:val="NormalWeb"/>
        <w:rPr>
          <w:rFonts w:ascii="Arial" w:hAnsi="Arial" w:cs="Arial"/>
          <w:sz w:val="20"/>
          <w:szCs w:val="20"/>
        </w:rPr>
      </w:pPr>
      <w:r w:rsidRPr="200ACE11">
        <w:rPr>
          <w:rFonts w:ascii="Arial" w:hAnsi="Arial" w:cs="Arial"/>
          <w:sz w:val="20"/>
          <w:szCs w:val="20"/>
        </w:rPr>
        <w:t>"Business Valuation in Divorce</w:t>
      </w:r>
      <w:r w:rsidR="008B74BF" w:rsidRPr="200ACE11">
        <w:rPr>
          <w:rFonts w:ascii="Arial" w:hAnsi="Arial" w:cs="Arial"/>
          <w:sz w:val="20"/>
          <w:szCs w:val="20"/>
        </w:rPr>
        <w:t xml:space="preserve"> in Nevada", </w:t>
      </w:r>
      <w:r w:rsidR="00B5782D" w:rsidRPr="200ACE11">
        <w:rPr>
          <w:rFonts w:ascii="Arial" w:hAnsi="Arial" w:cs="Arial"/>
          <w:sz w:val="20"/>
          <w:szCs w:val="20"/>
        </w:rPr>
        <w:t>Nevada Advanced Family Law Conference</w:t>
      </w:r>
      <w:r w:rsidR="001C2B6A" w:rsidRPr="200ACE11">
        <w:rPr>
          <w:rFonts w:ascii="Arial" w:hAnsi="Arial" w:cs="Arial"/>
          <w:sz w:val="20"/>
          <w:szCs w:val="20"/>
        </w:rPr>
        <w:t xml:space="preserve">, </w:t>
      </w:r>
      <w:r w:rsidR="00443567" w:rsidRPr="200ACE11">
        <w:rPr>
          <w:rFonts w:ascii="Arial" w:hAnsi="Arial" w:cs="Arial"/>
          <w:sz w:val="20"/>
          <w:szCs w:val="20"/>
        </w:rPr>
        <w:t xml:space="preserve"> Lake Tah</w:t>
      </w:r>
      <w:r w:rsidR="00330B84" w:rsidRPr="200ACE11">
        <w:rPr>
          <w:rFonts w:ascii="Arial" w:hAnsi="Arial" w:cs="Arial"/>
          <w:sz w:val="20"/>
          <w:szCs w:val="20"/>
        </w:rPr>
        <w:t xml:space="preserve">oe, California, September 26, </w:t>
      </w:r>
      <w:r w:rsidR="001C2B6A" w:rsidRPr="200ACE11">
        <w:rPr>
          <w:rFonts w:ascii="Arial" w:hAnsi="Arial" w:cs="Arial"/>
          <w:sz w:val="20"/>
          <w:szCs w:val="20"/>
        </w:rPr>
        <w:t>2024</w:t>
      </w:r>
    </w:p>
    <w:p w14:paraId="66275C00" w14:textId="635AD071" w:rsidR="00DD26BA" w:rsidRPr="00D63CD2" w:rsidRDefault="00DD26BA" w:rsidP="067745C8">
      <w:pPr>
        <w:pStyle w:val="NormalWeb"/>
        <w:rPr>
          <w:rFonts w:ascii="Arial" w:hAnsi="Arial" w:cs="Arial"/>
          <w:b/>
          <w:bCs/>
          <w:u w:val="single"/>
        </w:rPr>
      </w:pPr>
      <w:r w:rsidRPr="14DD15F7">
        <w:rPr>
          <w:rFonts w:ascii="Arial" w:hAnsi="Arial" w:cs="Arial"/>
          <w:b/>
          <w:bCs/>
          <w:u w:val="single"/>
        </w:rPr>
        <w:t>Community</w:t>
      </w:r>
    </w:p>
    <w:p w14:paraId="0F015DD2" w14:textId="2918742B" w:rsidR="00DD26BA" w:rsidRDefault="00DD26BA" w:rsidP="00DD26BA">
      <w:pPr>
        <w:pStyle w:val="NormalWeb"/>
        <w:rPr>
          <w:rFonts w:ascii="Arial" w:hAnsi="Arial" w:cs="Arial"/>
          <w:sz w:val="20"/>
          <w:szCs w:val="20"/>
        </w:rPr>
      </w:pPr>
      <w:r w:rsidRPr="00AD589A">
        <w:rPr>
          <w:rFonts w:ascii="Arial" w:hAnsi="Arial" w:cs="Arial"/>
          <w:sz w:val="20"/>
          <w:szCs w:val="20"/>
        </w:rPr>
        <w:t>Reno Air Race Association</w:t>
      </w:r>
      <w:r w:rsidR="00FD73D4">
        <w:rPr>
          <w:rFonts w:ascii="Arial" w:hAnsi="Arial" w:cs="Arial"/>
          <w:sz w:val="20"/>
          <w:szCs w:val="20"/>
        </w:rPr>
        <w:t xml:space="preserve"> Treasurer,</w:t>
      </w:r>
      <w:r w:rsidR="00B954EC">
        <w:rPr>
          <w:rFonts w:ascii="Arial" w:hAnsi="Arial" w:cs="Arial"/>
          <w:sz w:val="20"/>
          <w:szCs w:val="20"/>
        </w:rPr>
        <w:t xml:space="preserve">  Nevadans4Vets Treasurer</w:t>
      </w:r>
      <w:r w:rsidR="00FD73D4">
        <w:rPr>
          <w:rFonts w:ascii="Arial" w:hAnsi="Arial" w:cs="Arial"/>
          <w:sz w:val="20"/>
          <w:szCs w:val="20"/>
        </w:rPr>
        <w:t xml:space="preserve"> </w:t>
      </w:r>
      <w:r w:rsidRPr="00AD589A">
        <w:rPr>
          <w:rFonts w:ascii="Arial" w:hAnsi="Arial" w:cs="Arial"/>
          <w:sz w:val="20"/>
          <w:szCs w:val="20"/>
        </w:rPr>
        <w:t xml:space="preserve"> Board of Director</w:t>
      </w:r>
      <w:r w:rsidR="00D63CD2">
        <w:rPr>
          <w:rFonts w:ascii="Arial" w:hAnsi="Arial" w:cs="Arial"/>
          <w:sz w:val="20"/>
          <w:szCs w:val="20"/>
        </w:rPr>
        <w:t xml:space="preserve">s; Make-A-Wish Foundation, past </w:t>
      </w:r>
      <w:r w:rsidRPr="00AD589A">
        <w:rPr>
          <w:rFonts w:ascii="Arial" w:hAnsi="Arial" w:cs="Arial"/>
          <w:sz w:val="20"/>
          <w:szCs w:val="20"/>
        </w:rPr>
        <w:t>board member; Reno Philharmonic, past board member</w:t>
      </w:r>
      <w:r w:rsidR="00731ED2">
        <w:rPr>
          <w:rFonts w:ascii="Arial" w:hAnsi="Arial" w:cs="Arial"/>
          <w:sz w:val="20"/>
          <w:szCs w:val="20"/>
        </w:rPr>
        <w:t>.</w:t>
      </w:r>
      <w:r w:rsidR="007621B5">
        <w:rPr>
          <w:rFonts w:ascii="Arial" w:hAnsi="Arial" w:cs="Arial"/>
          <w:sz w:val="20"/>
          <w:szCs w:val="20"/>
        </w:rPr>
        <w:t>, Northern Nevada Veteran’s Alliance</w:t>
      </w:r>
      <w:r w:rsidR="00DC12AD">
        <w:rPr>
          <w:rFonts w:ascii="Arial" w:hAnsi="Arial" w:cs="Arial"/>
          <w:sz w:val="20"/>
          <w:szCs w:val="20"/>
        </w:rPr>
        <w:t xml:space="preserve"> Treasurer.</w:t>
      </w:r>
    </w:p>
    <w:p w14:paraId="59E9C39C" w14:textId="5C406046" w:rsidR="00C31363" w:rsidRDefault="00C31363" w:rsidP="00DD26BA">
      <w:pPr>
        <w:pStyle w:val="NormalWeb"/>
        <w:rPr>
          <w:rFonts w:ascii="Arial" w:hAnsi="Arial" w:cs="Arial"/>
          <w:b/>
          <w:bCs/>
          <w:u w:val="single"/>
        </w:rPr>
      </w:pPr>
      <w:r w:rsidRPr="00C31363">
        <w:rPr>
          <w:rFonts w:ascii="Arial" w:hAnsi="Arial" w:cs="Arial"/>
          <w:b/>
          <w:bCs/>
          <w:u w:val="single"/>
        </w:rPr>
        <w:t>Military Service</w:t>
      </w:r>
    </w:p>
    <w:p w14:paraId="0070F206" w14:textId="16A5AF91" w:rsidR="00383447" w:rsidRPr="00383447" w:rsidRDefault="00C8552D" w:rsidP="00DD26BA">
      <w:pPr>
        <w:pStyle w:val="NormalWeb"/>
        <w:rPr>
          <w:rFonts w:ascii="Arial" w:hAnsi="Arial" w:cs="Arial"/>
          <w:sz w:val="20"/>
          <w:szCs w:val="20"/>
        </w:rPr>
      </w:pPr>
      <w:r>
        <w:rPr>
          <w:rFonts w:ascii="Arial" w:hAnsi="Arial" w:cs="Arial"/>
          <w:sz w:val="20"/>
          <w:szCs w:val="20"/>
        </w:rPr>
        <w:t xml:space="preserve">United States Army Infantry Officer </w:t>
      </w:r>
      <w:r w:rsidR="000069B5">
        <w:rPr>
          <w:rFonts w:ascii="Arial" w:hAnsi="Arial" w:cs="Arial"/>
          <w:sz w:val="20"/>
          <w:szCs w:val="20"/>
        </w:rPr>
        <w:t>–</w:t>
      </w:r>
      <w:r>
        <w:rPr>
          <w:rFonts w:ascii="Arial" w:hAnsi="Arial" w:cs="Arial"/>
          <w:sz w:val="20"/>
          <w:szCs w:val="20"/>
        </w:rPr>
        <w:t xml:space="preserve"> 1968</w:t>
      </w:r>
      <w:r w:rsidR="000069B5">
        <w:rPr>
          <w:rFonts w:ascii="Arial" w:hAnsi="Arial" w:cs="Arial"/>
          <w:sz w:val="20"/>
          <w:szCs w:val="20"/>
        </w:rPr>
        <w:t xml:space="preserve"> -1971. Served in Republic of South Vietnam</w:t>
      </w:r>
      <w:r w:rsidR="00340971">
        <w:rPr>
          <w:rFonts w:ascii="Arial" w:hAnsi="Arial" w:cs="Arial"/>
          <w:sz w:val="20"/>
          <w:szCs w:val="20"/>
        </w:rPr>
        <w:t xml:space="preserve">.  Awarded Silver Star, Bronze Star for Valor, Purple Heart.  Recognized by </w:t>
      </w:r>
      <w:r w:rsidR="00D839A6">
        <w:rPr>
          <w:rFonts w:ascii="Arial" w:hAnsi="Arial" w:cs="Arial"/>
          <w:sz w:val="20"/>
          <w:szCs w:val="20"/>
        </w:rPr>
        <w:t>101</w:t>
      </w:r>
      <w:r w:rsidR="00D839A6" w:rsidRPr="00D839A6">
        <w:rPr>
          <w:rFonts w:ascii="Arial" w:hAnsi="Arial" w:cs="Arial"/>
          <w:sz w:val="20"/>
          <w:szCs w:val="20"/>
          <w:vertAlign w:val="superscript"/>
        </w:rPr>
        <w:t>st</w:t>
      </w:r>
      <w:r w:rsidR="00D839A6">
        <w:rPr>
          <w:rFonts w:ascii="Arial" w:hAnsi="Arial" w:cs="Arial"/>
          <w:sz w:val="20"/>
          <w:szCs w:val="20"/>
        </w:rPr>
        <w:t xml:space="preserve"> Airborne Division as a Distinguished Member of the </w:t>
      </w:r>
      <w:r w:rsidR="004F0985">
        <w:rPr>
          <w:rFonts w:ascii="Arial" w:hAnsi="Arial" w:cs="Arial"/>
          <w:sz w:val="20"/>
          <w:szCs w:val="20"/>
        </w:rPr>
        <w:t>Regiment</w:t>
      </w:r>
      <w:r w:rsidR="00D839A6">
        <w:rPr>
          <w:rFonts w:ascii="Arial" w:hAnsi="Arial" w:cs="Arial"/>
          <w:sz w:val="20"/>
          <w:szCs w:val="20"/>
        </w:rPr>
        <w:t xml:space="preserve"> in </w:t>
      </w:r>
      <w:r w:rsidR="004F0985">
        <w:rPr>
          <w:rFonts w:ascii="Arial" w:hAnsi="Arial" w:cs="Arial"/>
          <w:sz w:val="20"/>
          <w:szCs w:val="20"/>
        </w:rPr>
        <w:t>2021.</w:t>
      </w:r>
    </w:p>
    <w:p w14:paraId="5FCE4E5B" w14:textId="54AAC894" w:rsidR="009474AE" w:rsidRDefault="009474AE" w:rsidP="00DD26BA">
      <w:pPr>
        <w:pStyle w:val="NormalWeb"/>
        <w:rPr>
          <w:rFonts w:ascii="Arial" w:hAnsi="Arial" w:cs="Arial"/>
          <w:sz w:val="20"/>
          <w:szCs w:val="20"/>
        </w:rPr>
      </w:pPr>
    </w:p>
    <w:p w14:paraId="38A510FF" w14:textId="77777777" w:rsidR="007621B5" w:rsidRPr="00AD589A" w:rsidRDefault="007621B5" w:rsidP="00DD26BA">
      <w:pPr>
        <w:pStyle w:val="NormalWeb"/>
        <w:rPr>
          <w:rFonts w:ascii="Arial" w:hAnsi="Arial" w:cs="Arial"/>
          <w:sz w:val="20"/>
          <w:szCs w:val="20"/>
        </w:rPr>
      </w:pPr>
    </w:p>
    <w:p w14:paraId="4278F165" w14:textId="77777777" w:rsidR="004B039C" w:rsidRPr="00AD589A" w:rsidRDefault="004B039C" w:rsidP="004B039C">
      <w:pPr>
        <w:pStyle w:val="ListParagraph"/>
        <w:spacing w:before="240"/>
        <w:jc w:val="both"/>
        <w:rPr>
          <w:rFonts w:ascii="Arial" w:hAnsi="Arial" w:cs="Arial"/>
          <w:b/>
          <w:sz w:val="28"/>
          <w:szCs w:val="28"/>
          <w:u w:val="single"/>
        </w:rPr>
      </w:pPr>
    </w:p>
    <w:p w14:paraId="34D17AB2" w14:textId="77777777" w:rsidR="004B039C" w:rsidRPr="00AD589A" w:rsidRDefault="004B039C" w:rsidP="004B039C">
      <w:pPr>
        <w:pStyle w:val="ListParagraph"/>
        <w:spacing w:before="240"/>
        <w:jc w:val="both"/>
        <w:rPr>
          <w:rFonts w:ascii="Arial" w:hAnsi="Arial" w:cs="Arial"/>
          <w:b/>
          <w:sz w:val="28"/>
          <w:szCs w:val="28"/>
          <w:u w:val="single"/>
        </w:rPr>
      </w:pPr>
    </w:p>
    <w:p w14:paraId="635CD1AF" w14:textId="77777777" w:rsidR="00752970" w:rsidRPr="00AD589A" w:rsidRDefault="00752970" w:rsidP="00752970">
      <w:pPr>
        <w:pStyle w:val="ListParagraph"/>
        <w:rPr>
          <w:rFonts w:ascii="Arial" w:hAnsi="Arial" w:cs="Arial"/>
          <w:sz w:val="24"/>
          <w:szCs w:val="24"/>
        </w:rPr>
      </w:pPr>
    </w:p>
    <w:p w14:paraId="37A0F99D" w14:textId="740E80D1" w:rsidR="067745C8" w:rsidRDefault="067745C8" w:rsidP="067745C8">
      <w:pPr>
        <w:spacing w:before="240"/>
        <w:jc w:val="both"/>
        <w:rPr>
          <w:rFonts w:ascii="Arial" w:hAnsi="Arial" w:cs="Arial"/>
          <w:b/>
          <w:bCs/>
          <w:sz w:val="24"/>
          <w:szCs w:val="24"/>
        </w:rPr>
      </w:pPr>
    </w:p>
    <w:p w14:paraId="26CC0DE6" w14:textId="518180EF" w:rsidR="067745C8" w:rsidRDefault="067745C8" w:rsidP="067745C8">
      <w:pPr>
        <w:spacing w:before="240"/>
        <w:jc w:val="both"/>
        <w:rPr>
          <w:rFonts w:ascii="Arial" w:hAnsi="Arial" w:cs="Arial"/>
          <w:b/>
          <w:bCs/>
          <w:sz w:val="24"/>
          <w:szCs w:val="24"/>
        </w:rPr>
      </w:pPr>
    </w:p>
    <w:sectPr w:rsidR="06774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7B4F"/>
    <w:multiLevelType w:val="hybridMultilevel"/>
    <w:tmpl w:val="B0D0A4AA"/>
    <w:lvl w:ilvl="0" w:tplc="60BEDE4C">
      <w:start w:val="775"/>
      <w:numFmt w:val="bullet"/>
      <w:lvlText w:val="-"/>
      <w:lvlJc w:val="left"/>
      <w:pPr>
        <w:ind w:left="720" w:hanging="360"/>
      </w:pPr>
      <w:rPr>
        <w:rFonts w:ascii="Calibri" w:eastAsiaTheme="minorHAnsi" w:hAnsi="Calibri" w:cstheme="minorBidi" w:hint="default"/>
        <w:b/>
        <w:sz w:val="32"/>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03C2F"/>
    <w:multiLevelType w:val="hybridMultilevel"/>
    <w:tmpl w:val="113C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E30D2"/>
    <w:multiLevelType w:val="hybridMultilevel"/>
    <w:tmpl w:val="E9D6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60FB5"/>
    <w:multiLevelType w:val="hybridMultilevel"/>
    <w:tmpl w:val="8C16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357408"/>
    <w:multiLevelType w:val="hybridMultilevel"/>
    <w:tmpl w:val="37DA0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3812BF"/>
    <w:multiLevelType w:val="hybridMultilevel"/>
    <w:tmpl w:val="695A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C16C3E"/>
    <w:multiLevelType w:val="hybridMultilevel"/>
    <w:tmpl w:val="90F6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9A4E76"/>
    <w:multiLevelType w:val="hybridMultilevel"/>
    <w:tmpl w:val="90A0E834"/>
    <w:lvl w:ilvl="0" w:tplc="60BEDE4C">
      <w:start w:val="775"/>
      <w:numFmt w:val="bullet"/>
      <w:lvlText w:val="-"/>
      <w:lvlJc w:val="left"/>
      <w:pPr>
        <w:ind w:left="720" w:hanging="360"/>
      </w:pPr>
      <w:rPr>
        <w:rFonts w:ascii="Calibri" w:eastAsiaTheme="minorHAnsi" w:hAnsi="Calibri" w:cstheme="minorBidi" w:hint="default"/>
        <w:b/>
        <w:sz w:val="32"/>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93312">
    <w:abstractNumId w:val="0"/>
  </w:num>
  <w:num w:numId="2" w16cid:durableId="1424456533">
    <w:abstractNumId w:val="7"/>
  </w:num>
  <w:num w:numId="3" w16cid:durableId="2099519581">
    <w:abstractNumId w:val="5"/>
  </w:num>
  <w:num w:numId="4" w16cid:durableId="1110317326">
    <w:abstractNumId w:val="1"/>
  </w:num>
  <w:num w:numId="5" w16cid:durableId="1877765743">
    <w:abstractNumId w:val="2"/>
  </w:num>
  <w:num w:numId="6" w16cid:durableId="536042037">
    <w:abstractNumId w:val="3"/>
  </w:num>
  <w:num w:numId="7" w16cid:durableId="226110505">
    <w:abstractNumId w:val="4"/>
  </w:num>
  <w:num w:numId="8" w16cid:durableId="21411432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C1A"/>
    <w:rsid w:val="000069B5"/>
    <w:rsid w:val="00045B31"/>
    <w:rsid w:val="00047AF5"/>
    <w:rsid w:val="0006432E"/>
    <w:rsid w:val="000A090C"/>
    <w:rsid w:val="000A719C"/>
    <w:rsid w:val="000C1077"/>
    <w:rsid w:val="000C70E5"/>
    <w:rsid w:val="000D0BE3"/>
    <w:rsid w:val="000D2C9D"/>
    <w:rsid w:val="000E6F05"/>
    <w:rsid w:val="000F0ECA"/>
    <w:rsid w:val="00131579"/>
    <w:rsid w:val="00134C89"/>
    <w:rsid w:val="00143D9F"/>
    <w:rsid w:val="00151966"/>
    <w:rsid w:val="00191ECE"/>
    <w:rsid w:val="001C2B6A"/>
    <w:rsid w:val="001C6BA1"/>
    <w:rsid w:val="002156D9"/>
    <w:rsid w:val="00281978"/>
    <w:rsid w:val="00283B19"/>
    <w:rsid w:val="002971EB"/>
    <w:rsid w:val="002A43A3"/>
    <w:rsid w:val="002D125A"/>
    <w:rsid w:val="00301DE4"/>
    <w:rsid w:val="00330B84"/>
    <w:rsid w:val="00340971"/>
    <w:rsid w:val="003415B9"/>
    <w:rsid w:val="003619CD"/>
    <w:rsid w:val="00374349"/>
    <w:rsid w:val="00382DE3"/>
    <w:rsid w:val="00383447"/>
    <w:rsid w:val="003C5A4E"/>
    <w:rsid w:val="003D5E44"/>
    <w:rsid w:val="003E36D2"/>
    <w:rsid w:val="003E7407"/>
    <w:rsid w:val="00431A28"/>
    <w:rsid w:val="00433FE3"/>
    <w:rsid w:val="0044163C"/>
    <w:rsid w:val="00443567"/>
    <w:rsid w:val="004759F0"/>
    <w:rsid w:val="00495D35"/>
    <w:rsid w:val="004966D3"/>
    <w:rsid w:val="00496EBD"/>
    <w:rsid w:val="004B039C"/>
    <w:rsid w:val="004C26F6"/>
    <w:rsid w:val="004D63FC"/>
    <w:rsid w:val="004F0985"/>
    <w:rsid w:val="004F698A"/>
    <w:rsid w:val="00512CAA"/>
    <w:rsid w:val="00526586"/>
    <w:rsid w:val="005333BE"/>
    <w:rsid w:val="00541A64"/>
    <w:rsid w:val="0056367D"/>
    <w:rsid w:val="005C156B"/>
    <w:rsid w:val="005C659B"/>
    <w:rsid w:val="005D2D8E"/>
    <w:rsid w:val="00621DF2"/>
    <w:rsid w:val="00650AEC"/>
    <w:rsid w:val="00664993"/>
    <w:rsid w:val="00680350"/>
    <w:rsid w:val="006B1400"/>
    <w:rsid w:val="006C1D5B"/>
    <w:rsid w:val="006E7F22"/>
    <w:rsid w:val="006F2596"/>
    <w:rsid w:val="00731ED2"/>
    <w:rsid w:val="00744C1A"/>
    <w:rsid w:val="00752970"/>
    <w:rsid w:val="007621B5"/>
    <w:rsid w:val="00762729"/>
    <w:rsid w:val="007940AF"/>
    <w:rsid w:val="00794DDC"/>
    <w:rsid w:val="007A2167"/>
    <w:rsid w:val="007A750A"/>
    <w:rsid w:val="007A7AFB"/>
    <w:rsid w:val="007D02B1"/>
    <w:rsid w:val="00804BBB"/>
    <w:rsid w:val="0081776F"/>
    <w:rsid w:val="00833968"/>
    <w:rsid w:val="00846DBE"/>
    <w:rsid w:val="008479C2"/>
    <w:rsid w:val="00882ED1"/>
    <w:rsid w:val="008A6B3F"/>
    <w:rsid w:val="008B4AE7"/>
    <w:rsid w:val="008B74BF"/>
    <w:rsid w:val="008E0CBA"/>
    <w:rsid w:val="008E368A"/>
    <w:rsid w:val="009163C3"/>
    <w:rsid w:val="00926A5C"/>
    <w:rsid w:val="00926D32"/>
    <w:rsid w:val="009474AE"/>
    <w:rsid w:val="00953CCE"/>
    <w:rsid w:val="009647E8"/>
    <w:rsid w:val="009B4F9D"/>
    <w:rsid w:val="00A060D2"/>
    <w:rsid w:val="00A12BB4"/>
    <w:rsid w:val="00A14867"/>
    <w:rsid w:val="00A20DBB"/>
    <w:rsid w:val="00A413A5"/>
    <w:rsid w:val="00A50DA6"/>
    <w:rsid w:val="00A8107C"/>
    <w:rsid w:val="00A941EB"/>
    <w:rsid w:val="00A972B5"/>
    <w:rsid w:val="00AB3474"/>
    <w:rsid w:val="00AD589A"/>
    <w:rsid w:val="00AE0019"/>
    <w:rsid w:val="00AE147B"/>
    <w:rsid w:val="00B15542"/>
    <w:rsid w:val="00B15C2F"/>
    <w:rsid w:val="00B210D3"/>
    <w:rsid w:val="00B2160A"/>
    <w:rsid w:val="00B37E80"/>
    <w:rsid w:val="00B418B2"/>
    <w:rsid w:val="00B5782D"/>
    <w:rsid w:val="00B71B57"/>
    <w:rsid w:val="00B803A8"/>
    <w:rsid w:val="00B90B2B"/>
    <w:rsid w:val="00B954EC"/>
    <w:rsid w:val="00BA35D8"/>
    <w:rsid w:val="00BA56DC"/>
    <w:rsid w:val="00BE0485"/>
    <w:rsid w:val="00C31363"/>
    <w:rsid w:val="00C56CF7"/>
    <w:rsid w:val="00C73AB6"/>
    <w:rsid w:val="00C80F53"/>
    <w:rsid w:val="00C8552D"/>
    <w:rsid w:val="00C9149C"/>
    <w:rsid w:val="00CB30AB"/>
    <w:rsid w:val="00CC35F6"/>
    <w:rsid w:val="00CE5888"/>
    <w:rsid w:val="00CF72B8"/>
    <w:rsid w:val="00D63CD2"/>
    <w:rsid w:val="00D839A6"/>
    <w:rsid w:val="00DA2689"/>
    <w:rsid w:val="00DC05B3"/>
    <w:rsid w:val="00DC12AD"/>
    <w:rsid w:val="00DC2431"/>
    <w:rsid w:val="00DD26BA"/>
    <w:rsid w:val="00E10D10"/>
    <w:rsid w:val="00E178A0"/>
    <w:rsid w:val="00E31150"/>
    <w:rsid w:val="00E427AE"/>
    <w:rsid w:val="00E84C16"/>
    <w:rsid w:val="00EA6CCE"/>
    <w:rsid w:val="00EE58F0"/>
    <w:rsid w:val="00F24FCF"/>
    <w:rsid w:val="00F65ED4"/>
    <w:rsid w:val="00F800E6"/>
    <w:rsid w:val="00F836D4"/>
    <w:rsid w:val="00F974D8"/>
    <w:rsid w:val="00FB6702"/>
    <w:rsid w:val="00FD73D4"/>
    <w:rsid w:val="00FF3CBE"/>
    <w:rsid w:val="042E31E6"/>
    <w:rsid w:val="06206EBA"/>
    <w:rsid w:val="067745C8"/>
    <w:rsid w:val="0D1D35B4"/>
    <w:rsid w:val="0FC5AEBE"/>
    <w:rsid w:val="14DD15F7"/>
    <w:rsid w:val="200ACE11"/>
    <w:rsid w:val="240CCF44"/>
    <w:rsid w:val="2730E3F0"/>
    <w:rsid w:val="2983A6AE"/>
    <w:rsid w:val="2D67C192"/>
    <w:rsid w:val="2FA9550B"/>
    <w:rsid w:val="3427F327"/>
    <w:rsid w:val="4CA56108"/>
    <w:rsid w:val="5E82AAD1"/>
    <w:rsid w:val="781BC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CE1C"/>
  <w15:chartTrackingRefBased/>
  <w15:docId w15:val="{4B0F2EE4-00EA-4C42-9C4D-E451F422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542"/>
    <w:pPr>
      <w:ind w:left="720"/>
      <w:contextualSpacing/>
    </w:pPr>
  </w:style>
  <w:style w:type="paragraph" w:styleId="BalloonText">
    <w:name w:val="Balloon Text"/>
    <w:basedOn w:val="Normal"/>
    <w:link w:val="BalloonTextChar"/>
    <w:uiPriority w:val="99"/>
    <w:semiHidden/>
    <w:unhideWhenUsed/>
    <w:rsid w:val="005636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67D"/>
    <w:rPr>
      <w:rFonts w:ascii="Segoe UI" w:hAnsi="Segoe UI" w:cs="Segoe UI"/>
      <w:sz w:val="18"/>
      <w:szCs w:val="18"/>
    </w:rPr>
  </w:style>
  <w:style w:type="paragraph" w:styleId="NormalWeb">
    <w:name w:val="Normal (Web)"/>
    <w:basedOn w:val="Normal"/>
    <w:uiPriority w:val="99"/>
    <w:semiHidden/>
    <w:unhideWhenUsed/>
    <w:rsid w:val="00DD26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Bailey</dc:creator>
  <cp:keywords/>
  <dc:description/>
  <cp:lastModifiedBy>Mark Bailey</cp:lastModifiedBy>
  <cp:revision>12</cp:revision>
  <cp:lastPrinted>2015-06-19T23:48:00Z</cp:lastPrinted>
  <dcterms:created xsi:type="dcterms:W3CDTF">2026-06-26T15:41:00Z</dcterms:created>
  <dcterms:modified xsi:type="dcterms:W3CDTF">2026-06-26T15:53:00Z</dcterms:modified>
</cp:coreProperties>
</file>