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1A3A5C"/>
          <w:sz w:val="40"/>
          <w:szCs w:val="40"/>
        </w:rPr>
        <w:t xml:space="preserve">ANDREW J. COLE, MD</w:t>
      </w:r>
    </w:p>
    <w:p>
      <w:pPr>
        <w:spacing w:after="60" w:before="0"/>
        <w:jc w:val="center"/>
      </w:pPr>
      <w:r>
        <w:rPr>
          <w:rFonts w:ascii="Arial" w:cs="Arial" w:eastAsia="Arial" w:hAnsi="Arial"/>
          <w:i/>
          <w:iCs/>
          <w:color w:val="666666"/>
          <w:sz w:val="22"/>
          <w:szCs w:val="22"/>
        </w:rPr>
        <w:t xml:space="preserve">Diagnostic Radiologist  |  Expert Witness  |  Independent Medical Evaluator</w:t>
      </w:r>
    </w:p>
    <w:p>
      <w:pPr>
        <w:spacing w:after="30" w:before="0"/>
        <w:jc w:val="center"/>
      </w:pPr>
      <w:r>
        <w:rPr>
          <w:rFonts w:ascii="Arial" w:cs="Arial" w:eastAsia="Arial" w:hAnsi="Arial"/>
          <w:color w:val="444444"/>
          <w:sz w:val="20"/>
          <w:szCs w:val="20"/>
        </w:rPr>
        <w:t xml:space="preserve">798 N 38th Street, Allentown, PA 18104</w:t>
      </w:r>
    </w:p>
    <w:p>
      <w:pPr>
        <w:spacing w:after="200" w:before="0"/>
        <w:jc w:val="center"/>
      </w:pPr>
      <w:r>
        <w:rPr>
          <w:rFonts w:ascii="Arial" w:cs="Arial" w:eastAsia="Arial" w:hAnsi="Arial"/>
          <w:color w:val="444444"/>
          <w:sz w:val="20"/>
          <w:szCs w:val="20"/>
        </w:rPr>
        <w:t xml:space="preserve">(610) 217-6208  |  Andrew.cole18104@gmail.com</w:t>
      </w:r>
    </w:p>
    <w:p>
      <w:pPr>
        <w:pBdr>
          <w:bottom w:val="single" w:color="1A3A5C" w:sz="6" w:space="2"/>
        </w:pBdr>
        <w:spacing w:after="80" w:before="280"/>
      </w:pPr>
      <w:r>
        <w:rPr>
          <w:rFonts w:ascii="Arial" w:cs="Arial" w:eastAsia="Arial" w:hAnsi="Arial"/>
          <w:b/>
          <w:bCs/>
          <w:color w:val="1A3A5C"/>
          <w:sz w:val="26"/>
          <w:szCs w:val="26"/>
        </w:rPr>
        <w:t xml:space="preserve">PROFESSIONAL SUMMARY</w:t>
      </w:r>
    </w:p>
    <w:p>
      <w:pPr>
        <w:spacing w:after="40" w:before="40"/>
      </w:pPr>
      <w:r>
        <w:rPr>
          <w:rFonts w:ascii="Arial" w:cs="Arial" w:eastAsia="Arial" w:hAnsi="Arial"/>
          <w:color w:val="444444"/>
          <w:sz w:val="20"/>
          <w:szCs w:val="20"/>
        </w:rPr>
        <w:t xml:space="preserve">Board-certified diagnostic radiologist with over two decades of clinical experience in a high-volume community practice setting. Following retirement from active clinical practice in 2026, Dr. Cole is available to provide expert witness consultation, independent medical evaluations, and litigation support services in matters involving diagnostic radiology, standard of care, causation, and radiological interpretation. His extensive practical background — spanning general, emergency, and cross-sectional imaging — provides a strong foundation for objective, court-ready opinions.</w:t>
      </w:r>
    </w:p>
    <w:p>
      <w:pPr>
        <w:spacing w:after="0" w:before="80"/>
      </w:pPr>
      <w:r>
        <w:t xml:space="preserve"/>
      </w:r>
    </w:p>
    <w:p>
      <w:pPr>
        <w:pBdr>
          <w:bottom w:val="single" w:color="1A3A5C" w:sz="6" w:space="2"/>
        </w:pBdr>
        <w:spacing w:after="80" w:before="280"/>
      </w:pPr>
      <w:r>
        <w:rPr>
          <w:rFonts w:ascii="Arial" w:cs="Arial" w:eastAsia="Arial" w:hAnsi="Arial"/>
          <w:b/>
          <w:bCs/>
          <w:color w:val="1A3A5C"/>
          <w:sz w:val="26"/>
          <w:szCs w:val="26"/>
        </w:rPr>
        <w:t xml:space="preserve">EXPERT WITNESS SERVICES</w:t>
      </w:r>
    </w:p>
    <w:p>
      <w:pPr>
        <w:pStyle w:val="ListParagraph"/>
        <w:numPr>
          <w:ilvl w:val="0"/>
          <w:numId w:val="2"/>
        </w:numPr>
        <w:spacing w:after="30" w:before="30"/>
      </w:pPr>
      <w:r>
        <w:rPr>
          <w:rFonts w:ascii="Arial" w:cs="Arial" w:eastAsia="Arial" w:hAnsi="Arial"/>
          <w:color w:val="444444"/>
          <w:sz w:val="20"/>
          <w:szCs w:val="20"/>
        </w:rPr>
        <w:t xml:space="preserve">Standard of care review for radiologists and referring clinicians</w:t>
      </w:r>
    </w:p>
    <w:p>
      <w:pPr>
        <w:pStyle w:val="ListParagraph"/>
        <w:numPr>
          <w:ilvl w:val="0"/>
          <w:numId w:val="2"/>
        </w:numPr>
        <w:spacing w:after="30" w:before="30"/>
      </w:pPr>
      <w:r>
        <w:rPr>
          <w:rFonts w:ascii="Arial" w:cs="Arial" w:eastAsia="Arial" w:hAnsi="Arial"/>
          <w:color w:val="444444"/>
          <w:sz w:val="20"/>
          <w:szCs w:val="20"/>
        </w:rPr>
        <w:t xml:space="preserve">Causation analysis linking imaging findings to mechanism of injury or disease</w:t>
      </w:r>
    </w:p>
    <w:p>
      <w:pPr>
        <w:pStyle w:val="ListParagraph"/>
        <w:numPr>
          <w:ilvl w:val="0"/>
          <w:numId w:val="2"/>
        </w:numPr>
        <w:spacing w:after="30" w:before="30"/>
      </w:pPr>
      <w:r>
        <w:rPr>
          <w:rFonts w:ascii="Arial" w:cs="Arial" w:eastAsia="Arial" w:hAnsi="Arial"/>
          <w:color w:val="444444"/>
          <w:sz w:val="20"/>
          <w:szCs w:val="20"/>
        </w:rPr>
        <w:t xml:space="preserve">Critique of radiology reports and imaging interpretation</w:t>
      </w:r>
    </w:p>
    <w:p>
      <w:pPr>
        <w:pStyle w:val="ListParagraph"/>
        <w:numPr>
          <w:ilvl w:val="0"/>
          <w:numId w:val="2"/>
        </w:numPr>
        <w:spacing w:after="30" w:before="30"/>
      </w:pPr>
      <w:r>
        <w:rPr>
          <w:rFonts w:ascii="Arial" w:cs="Arial" w:eastAsia="Arial" w:hAnsi="Arial"/>
          <w:color w:val="444444"/>
          <w:sz w:val="20"/>
          <w:szCs w:val="20"/>
        </w:rPr>
        <w:t xml:space="preserve">Diagnostic error review: missed, delayed, or mischaracterized findings</w:t>
      </w:r>
    </w:p>
    <w:p>
      <w:pPr>
        <w:pStyle w:val="ListParagraph"/>
        <w:numPr>
          <w:ilvl w:val="0"/>
          <w:numId w:val="2"/>
        </w:numPr>
        <w:spacing w:after="30" w:before="30"/>
      </w:pPr>
      <w:r>
        <w:rPr>
          <w:rFonts w:ascii="Arial" w:cs="Arial" w:eastAsia="Arial" w:hAnsi="Arial"/>
          <w:color w:val="444444"/>
          <w:sz w:val="20"/>
          <w:szCs w:val="20"/>
        </w:rPr>
        <w:t xml:space="preserve">Written opinions, rebuttal reports, and supplemental declarations</w:t>
      </w:r>
    </w:p>
    <w:p>
      <w:pPr>
        <w:pStyle w:val="ListParagraph"/>
        <w:numPr>
          <w:ilvl w:val="0"/>
          <w:numId w:val="2"/>
        </w:numPr>
        <w:spacing w:after="30" w:before="30"/>
      </w:pPr>
      <w:r>
        <w:rPr>
          <w:rFonts w:ascii="Arial" w:cs="Arial" w:eastAsia="Arial" w:hAnsi="Arial"/>
          <w:color w:val="444444"/>
          <w:sz w:val="20"/>
          <w:szCs w:val="20"/>
        </w:rPr>
        <w:t xml:space="preserve">Deposition and trial testimony</w:t>
      </w:r>
    </w:p>
    <w:p>
      <w:pPr>
        <w:pStyle w:val="ListParagraph"/>
        <w:numPr>
          <w:ilvl w:val="0"/>
          <w:numId w:val="2"/>
        </w:numPr>
        <w:spacing w:after="30" w:before="30"/>
      </w:pPr>
      <w:r>
        <w:rPr>
          <w:rFonts w:ascii="Arial" w:cs="Arial" w:eastAsia="Arial" w:hAnsi="Arial"/>
          <w:color w:val="444444"/>
          <w:sz w:val="20"/>
          <w:szCs w:val="20"/>
        </w:rPr>
        <w:t xml:space="preserve">Independent medical evaluations (IME)</w:t>
      </w:r>
    </w:p>
    <w:p>
      <w:pPr>
        <w:spacing w:after="0" w:before="80"/>
      </w:pPr>
      <w:r>
        <w:t xml:space="preserve"/>
      </w:r>
    </w:p>
    <w:p>
      <w:pPr>
        <w:pBdr>
          <w:bottom w:val="single" w:color="1A3A5C" w:sz="6" w:space="2"/>
        </w:pBdr>
        <w:spacing w:after="80" w:before="280"/>
      </w:pPr>
      <w:r>
        <w:rPr>
          <w:rFonts w:ascii="Arial" w:cs="Arial" w:eastAsia="Arial" w:hAnsi="Arial"/>
          <w:b/>
          <w:bCs/>
          <w:color w:val="1A3A5C"/>
          <w:sz w:val="26"/>
          <w:szCs w:val="26"/>
        </w:rPr>
        <w:t xml:space="preserve">LICENSURE &amp; CREDENTIALS</w:t>
      </w:r>
    </w:p>
    <w:p>
      <w:pPr>
        <w:tabs>
          <w:tab w:val="right" w:pos="9200"/>
        </w:tabs>
        <w:spacing w:after="40" w:before="40"/>
      </w:pPr>
      <w:r>
        <w:rPr>
          <w:rFonts w:ascii="Arial" w:cs="Arial" w:eastAsia="Arial" w:hAnsi="Arial"/>
          <w:color w:val="444444"/>
          <w:sz w:val="20"/>
          <w:szCs w:val="20"/>
        </w:rPr>
        <w:t xml:space="preserve">Medical License — Commonwealth of Pennsylvania</w:t>
      </w:r>
      <w:r>
        <w:rPr>
          <w:rFonts w:ascii="Arial" w:cs="Arial" w:eastAsia="Arial" w:hAnsi="Arial"/>
          <w:i/>
          <w:iCs/>
          <w:color w:val="666666"/>
          <w:sz w:val="20"/>
          <w:szCs w:val="20"/>
        </w:rPr>
        <w:t xml:space="preserve">	License No. MD-072185-L  |  Active</w:t>
      </w:r>
    </w:p>
    <w:p>
      <w:pPr>
        <w:tabs>
          <w:tab w:val="right" w:pos="9200"/>
        </w:tabs>
        <w:spacing w:after="40" w:before="40"/>
      </w:pPr>
      <w:r>
        <w:rPr>
          <w:rFonts w:ascii="Arial" w:cs="Arial" w:eastAsia="Arial" w:hAnsi="Arial"/>
          <w:color w:val="444444"/>
          <w:sz w:val="20"/>
          <w:szCs w:val="20"/>
        </w:rPr>
        <w:t xml:space="preserve">Medical License — State of New Jersey</w:t>
      </w:r>
      <w:r>
        <w:rPr>
          <w:rFonts w:ascii="Arial" w:cs="Arial" w:eastAsia="Arial" w:hAnsi="Arial"/>
          <w:i/>
          <w:iCs/>
          <w:color w:val="666666"/>
          <w:sz w:val="20"/>
          <w:szCs w:val="20"/>
        </w:rPr>
        <w:t xml:space="preserve">	License No. 25MA90969800  |  Active</w:t>
      </w:r>
    </w:p>
    <w:p>
      <w:pPr>
        <w:tabs>
          <w:tab w:val="right" w:pos="9200"/>
        </w:tabs>
        <w:spacing w:after="40" w:before="40"/>
      </w:pPr>
      <w:r>
        <w:rPr>
          <w:rFonts w:ascii="Arial" w:cs="Arial" w:eastAsia="Arial" w:hAnsi="Arial"/>
          <w:color w:val="444444"/>
          <w:sz w:val="20"/>
          <w:szCs w:val="20"/>
        </w:rPr>
        <w:t xml:space="preserve">American Board of Radiology — Diagnostic Radiology</w:t>
      </w:r>
      <w:r>
        <w:rPr>
          <w:rFonts w:ascii="Arial" w:cs="Arial" w:eastAsia="Arial" w:hAnsi="Arial"/>
          <w:i/>
          <w:iCs/>
          <w:color w:val="666666"/>
          <w:sz w:val="20"/>
          <w:szCs w:val="20"/>
        </w:rPr>
        <w:t xml:space="preserve">	Board Certified</w:t>
      </w:r>
    </w:p>
    <w:p>
      <w:pPr>
        <w:spacing w:after="0" w:before="80"/>
      </w:pPr>
      <w:r>
        <w:t xml:space="preserve"/>
      </w:r>
    </w:p>
    <w:p>
      <w:pPr>
        <w:pBdr>
          <w:bottom w:val="single" w:color="1A3A5C" w:sz="6" w:space="2"/>
        </w:pBdr>
        <w:spacing w:after="80" w:before="280"/>
      </w:pPr>
      <w:r>
        <w:rPr>
          <w:rFonts w:ascii="Arial" w:cs="Arial" w:eastAsia="Arial" w:hAnsi="Arial"/>
          <w:b/>
          <w:bCs/>
          <w:color w:val="1A3A5C"/>
          <w:sz w:val="26"/>
          <w:szCs w:val="26"/>
        </w:rPr>
        <w:t xml:space="preserve">PROFESSIONAL EXPERIENCE</w:t>
      </w:r>
    </w:p>
    <w:p>
      <w:pPr>
        <w:spacing w:after="20" w:before="80"/>
      </w:pPr>
      <w:r>
        <w:rPr>
          <w:rFonts w:ascii="Arial" w:cs="Arial" w:eastAsia="Arial" w:hAnsi="Arial"/>
          <w:b/>
          <w:bCs/>
          <w:color w:val="222222"/>
          <w:sz w:val="20"/>
          <w:szCs w:val="20"/>
        </w:rPr>
        <w:t xml:space="preserve">Progressive Physicians Associates — Allentown, PA</w:t>
      </w:r>
    </w:p>
    <w:p>
      <w:pPr>
        <w:tabs>
          <w:tab w:val="right" w:pos="9200"/>
        </w:tabs>
        <w:spacing w:after="40" w:before="0"/>
      </w:pPr>
      <w:r>
        <w:rPr>
          <w:rFonts w:ascii="Arial" w:cs="Arial" w:eastAsia="Arial" w:hAnsi="Arial"/>
          <w:i/>
          <w:iCs/>
          <w:color w:val="444444"/>
          <w:sz w:val="20"/>
          <w:szCs w:val="20"/>
        </w:rPr>
        <w:t xml:space="preserve">Staff Radiologist</w:t>
      </w:r>
      <w:r>
        <w:rPr>
          <w:rFonts w:ascii="Arial" w:cs="Arial" w:eastAsia="Arial" w:hAnsi="Arial"/>
          <w:i/>
          <w:iCs/>
          <w:color w:val="666666"/>
          <w:sz w:val="20"/>
          <w:szCs w:val="20"/>
        </w:rPr>
        <w:t xml:space="preserve">	2003 – 2026</w:t>
      </w:r>
    </w:p>
    <w:p>
      <w:pPr>
        <w:pStyle w:val="ListParagraph"/>
        <w:numPr>
          <w:ilvl w:val="0"/>
          <w:numId w:val="2"/>
        </w:numPr>
        <w:spacing w:after="30" w:before="30"/>
      </w:pPr>
      <w:r>
        <w:rPr>
          <w:rFonts w:ascii="Arial" w:cs="Arial" w:eastAsia="Arial" w:hAnsi="Arial"/>
          <w:color w:val="444444"/>
          <w:sz w:val="20"/>
          <w:szCs w:val="20"/>
        </w:rPr>
        <w:t xml:space="preserve">Interpreted high-volume diagnostic imaging across modalities including CT, MRI, ultrasound, plain radiography, and fluoroscopy</w:t>
      </w:r>
    </w:p>
    <w:p>
      <w:pPr>
        <w:pStyle w:val="ListParagraph"/>
        <w:numPr>
          <w:ilvl w:val="0"/>
          <w:numId w:val="2"/>
        </w:numPr>
        <w:spacing w:after="30" w:before="30"/>
      </w:pPr>
      <w:r>
        <w:rPr>
          <w:rFonts w:ascii="Arial" w:cs="Arial" w:eastAsia="Arial" w:hAnsi="Arial"/>
          <w:color w:val="444444"/>
          <w:sz w:val="20"/>
          <w:szCs w:val="20"/>
        </w:rPr>
        <w:t xml:space="preserve">Provided on-call emergency radiology coverage with experience in trauma, acute neurological, and cardiovascular imaging</w:t>
      </w:r>
    </w:p>
    <w:p>
      <w:pPr>
        <w:pStyle w:val="ListParagraph"/>
        <w:numPr>
          <w:ilvl w:val="0"/>
          <w:numId w:val="2"/>
        </w:numPr>
        <w:spacing w:after="30" w:before="30"/>
      </w:pPr>
      <w:r>
        <w:rPr>
          <w:rFonts w:ascii="Arial" w:cs="Arial" w:eastAsia="Arial" w:hAnsi="Arial"/>
          <w:color w:val="444444"/>
          <w:sz w:val="20"/>
          <w:szCs w:val="20"/>
        </w:rPr>
        <w:t xml:space="preserve">Collaborated with clinical teams across multiple hospital and outpatient settings</w:t>
      </w:r>
    </w:p>
    <w:p>
      <w:pPr>
        <w:pStyle w:val="ListParagraph"/>
        <w:numPr>
          <w:ilvl w:val="0"/>
          <w:numId w:val="2"/>
        </w:numPr>
        <w:spacing w:after="30" w:before="30"/>
      </w:pPr>
      <w:r>
        <w:rPr>
          <w:rFonts w:ascii="Arial" w:cs="Arial" w:eastAsia="Arial" w:hAnsi="Arial"/>
          <w:color w:val="444444"/>
          <w:sz w:val="20"/>
          <w:szCs w:val="20"/>
        </w:rPr>
        <w:t xml:space="preserve">Retired from active clinical practice 2026; now available full-time for medico-legal consultation</w:t>
      </w:r>
    </w:p>
    <w:p>
      <w:pPr>
        <w:tabs>
          <w:tab w:val="right" w:pos="9200"/>
        </w:tabs>
        <w:spacing w:after="40" w:before="60"/>
        <w:ind w:left="240"/>
      </w:pPr>
      <w:r>
        <w:rPr>
          <w:rFonts w:ascii="Arial" w:cs="Arial" w:eastAsia="Arial" w:hAnsi="Arial"/>
          <w:b/>
          <w:bCs/>
          <w:color w:val="1A3A5C"/>
          <w:sz w:val="20"/>
          <w:szCs w:val="20"/>
        </w:rPr>
        <w:t xml:space="preserve">★  Night of Heroes Award — Excellence in Trauma Service</w:t>
      </w:r>
      <w:r>
        <w:rPr>
          <w:rFonts w:ascii="Arial" w:cs="Arial" w:eastAsia="Arial" w:hAnsi="Arial"/>
          <w:i/>
          <w:iCs/>
          <w:color w:val="666666"/>
          <w:sz w:val="20"/>
          <w:szCs w:val="20"/>
        </w:rPr>
        <w:t xml:space="preserve">	2014</w:t>
      </w:r>
    </w:p>
    <w:p>
      <w:pPr>
        <w:spacing w:after="0" w:before="80"/>
      </w:pPr>
      <w:r>
        <w:t xml:space="preserve"/>
      </w:r>
    </w:p>
    <w:p>
      <w:pPr>
        <w:pBdr>
          <w:bottom w:val="single" w:color="1A3A5C" w:sz="6" w:space="2"/>
        </w:pBdr>
        <w:spacing w:after="80" w:before="280"/>
      </w:pPr>
      <w:r>
        <w:rPr>
          <w:rFonts w:ascii="Arial" w:cs="Arial" w:eastAsia="Arial" w:hAnsi="Arial"/>
          <w:b/>
          <w:bCs/>
          <w:color w:val="1A3A5C"/>
          <w:sz w:val="26"/>
          <w:szCs w:val="26"/>
        </w:rPr>
        <w:t xml:space="preserve">GRADUATE MEDICAL EDUCATION</w:t>
      </w:r>
    </w:p>
    <w:p>
      <w:pPr>
        <w:tabs>
          <w:tab w:val="right" w:pos="9200"/>
        </w:tabs>
        <w:spacing w:after="40" w:before="40"/>
      </w:pPr>
      <w:r>
        <w:rPr>
          <w:rFonts w:ascii="Arial" w:cs="Arial" w:eastAsia="Arial" w:hAnsi="Arial"/>
          <w:color w:val="444444"/>
          <w:sz w:val="20"/>
          <w:szCs w:val="20"/>
        </w:rPr>
        <w:t xml:space="preserve">Diagnostic Radiology Residency, Temple University Hospital, Philadelphia, PA</w:t>
      </w:r>
      <w:r>
        <w:rPr>
          <w:rFonts w:ascii="Arial" w:cs="Arial" w:eastAsia="Arial" w:hAnsi="Arial"/>
          <w:i/>
          <w:iCs/>
          <w:color w:val="666666"/>
          <w:sz w:val="20"/>
          <w:szCs w:val="20"/>
        </w:rPr>
        <w:t xml:space="preserve">	1999 – 2003</w:t>
      </w:r>
    </w:p>
    <w:p>
      <w:pPr>
        <w:tabs>
          <w:tab w:val="right" w:pos="9200"/>
        </w:tabs>
        <w:spacing w:after="40" w:before="40"/>
      </w:pPr>
      <w:r>
        <w:rPr>
          <w:rFonts w:ascii="Arial" w:cs="Arial" w:eastAsia="Arial" w:hAnsi="Arial"/>
          <w:color w:val="444444"/>
          <w:sz w:val="20"/>
          <w:szCs w:val="20"/>
        </w:rPr>
        <w:t xml:space="preserve">Transitional Year Internship, Reading Hospital, Reading, PA</w:t>
      </w:r>
      <w:r>
        <w:rPr>
          <w:rFonts w:ascii="Arial" w:cs="Arial" w:eastAsia="Arial" w:hAnsi="Arial"/>
          <w:i/>
          <w:iCs/>
          <w:color w:val="666666"/>
          <w:sz w:val="20"/>
          <w:szCs w:val="20"/>
        </w:rPr>
        <w:t xml:space="preserve">	1998 – 1999</w:t>
      </w:r>
    </w:p>
    <w:p>
      <w:pPr>
        <w:spacing w:after="0" w:before="80"/>
      </w:pPr>
      <w:r>
        <w:t xml:space="preserve"/>
      </w:r>
    </w:p>
    <w:p>
      <w:pPr>
        <w:pBdr>
          <w:bottom w:val="single" w:color="1A3A5C" w:sz="6" w:space="2"/>
        </w:pBdr>
        <w:spacing w:after="80" w:before="280"/>
      </w:pPr>
      <w:r>
        <w:rPr>
          <w:rFonts w:ascii="Arial" w:cs="Arial" w:eastAsia="Arial" w:hAnsi="Arial"/>
          <w:b/>
          <w:bCs/>
          <w:color w:val="1A3A5C"/>
          <w:sz w:val="26"/>
          <w:szCs w:val="26"/>
        </w:rPr>
        <w:t xml:space="preserve">EDUCATION</w:t>
      </w:r>
    </w:p>
    <w:p>
      <w:pPr>
        <w:spacing w:after="20" w:before="60"/>
      </w:pPr>
      <w:r>
        <w:rPr>
          <w:rFonts w:ascii="Arial" w:cs="Arial" w:eastAsia="Arial" w:hAnsi="Arial"/>
          <w:b/>
          <w:bCs/>
          <w:color w:val="222222"/>
          <w:sz w:val="20"/>
          <w:szCs w:val="20"/>
        </w:rPr>
        <w:t xml:space="preserve">Temple University School of Medicine — Philadelphia, PA</w:t>
      </w:r>
    </w:p>
    <w:p>
      <w:pPr>
        <w:tabs>
          <w:tab w:val="right" w:pos="9200"/>
        </w:tabs>
        <w:spacing w:after="60" w:before="0"/>
      </w:pPr>
      <w:r>
        <w:rPr>
          <w:rFonts w:ascii="Arial" w:cs="Arial" w:eastAsia="Arial" w:hAnsi="Arial"/>
          <w:i/>
          <w:iCs/>
          <w:color w:val="444444"/>
          <w:sz w:val="20"/>
          <w:szCs w:val="20"/>
        </w:rPr>
        <w:t xml:space="preserve">Doctor of Medicine (MD)</w:t>
      </w:r>
      <w:r>
        <w:rPr>
          <w:rFonts w:ascii="Arial" w:cs="Arial" w:eastAsia="Arial" w:hAnsi="Arial"/>
          <w:i/>
          <w:iCs/>
          <w:color w:val="666666"/>
          <w:sz w:val="20"/>
          <w:szCs w:val="20"/>
        </w:rPr>
        <w:t xml:space="preserve">	1994 – 1998</w:t>
      </w:r>
    </w:p>
    <w:p>
      <w:pPr>
        <w:spacing w:after="20" w:before="60"/>
      </w:pPr>
      <w:r>
        <w:rPr>
          <w:rFonts w:ascii="Arial" w:cs="Arial" w:eastAsia="Arial" w:hAnsi="Arial"/>
          <w:b/>
          <w:bCs/>
          <w:color w:val="222222"/>
          <w:sz w:val="20"/>
          <w:szCs w:val="20"/>
        </w:rPr>
        <w:t xml:space="preserve">University of Delaware — Newark, DE</w:t>
      </w:r>
    </w:p>
    <w:p>
      <w:pPr>
        <w:tabs>
          <w:tab w:val="right" w:pos="9200"/>
        </w:tabs>
        <w:spacing w:after="20" w:before="0"/>
      </w:pPr>
      <w:r>
        <w:rPr>
          <w:rFonts w:ascii="Arial" w:cs="Arial" w:eastAsia="Arial" w:hAnsi="Arial"/>
          <w:i/>
          <w:iCs/>
          <w:color w:val="444444"/>
          <w:sz w:val="20"/>
          <w:szCs w:val="20"/>
        </w:rPr>
        <w:t xml:space="preserve">Bachelor of Science — Magna Cum Laude</w:t>
      </w:r>
      <w:r>
        <w:rPr>
          <w:rFonts w:ascii="Arial" w:cs="Arial" w:eastAsia="Arial" w:hAnsi="Arial"/>
          <w:i/>
          <w:iCs/>
          <w:color w:val="666666"/>
          <w:sz w:val="20"/>
          <w:szCs w:val="20"/>
        </w:rPr>
        <w:t xml:space="preserve">	1990 – 1994</w:t>
      </w:r>
    </w:p>
    <w:p>
      <w:pPr>
        <w:pStyle w:val="ListParagraph"/>
        <w:numPr>
          <w:ilvl w:val="0"/>
          <w:numId w:val="2"/>
        </w:numPr>
        <w:spacing w:after="30" w:before="30"/>
      </w:pPr>
      <w:r>
        <w:rPr>
          <w:rFonts w:ascii="Arial" w:cs="Arial" w:eastAsia="Arial" w:hAnsi="Arial"/>
          <w:color w:val="444444"/>
          <w:sz w:val="20"/>
          <w:szCs w:val="20"/>
        </w:rPr>
        <w:t xml:space="preserve">Phi Beta Kappa Honor Society</w:t>
      </w:r>
    </w:p>
    <w:p>
      <w:pPr>
        <w:pStyle w:val="ListParagraph"/>
        <w:numPr>
          <w:ilvl w:val="0"/>
          <w:numId w:val="2"/>
        </w:numPr>
        <w:spacing w:after="30" w:before="30"/>
      </w:pPr>
      <w:r>
        <w:rPr>
          <w:rFonts w:ascii="Arial" w:cs="Arial" w:eastAsia="Arial" w:hAnsi="Arial"/>
          <w:color w:val="444444"/>
          <w:sz w:val="20"/>
          <w:szCs w:val="20"/>
        </w:rPr>
        <w:t xml:space="preserve">Graduated Magna Cum Laude</w:t>
      </w:r>
    </w:p>
    <w:p>
      <w:pPr>
        <w:spacing w:after="0" w:before="80"/>
      </w:pPr>
      <w:r>
        <w:t xml:space="preserve"/>
      </w:r>
    </w:p>
    <w:p>
      <w:pPr>
        <w:pBdr>
          <w:bottom w:val="single" w:color="1A3A5C" w:sz="6" w:space="2"/>
        </w:pBdr>
        <w:spacing w:after="80" w:before="280"/>
      </w:pPr>
      <w:r>
        <w:rPr>
          <w:rFonts w:ascii="Arial" w:cs="Arial" w:eastAsia="Arial" w:hAnsi="Arial"/>
          <w:b/>
          <w:bCs/>
          <w:color w:val="1A3A5C"/>
          <w:sz w:val="26"/>
          <w:szCs w:val="26"/>
        </w:rPr>
        <w:t xml:space="preserve">PUBLICATIONS</w:t>
      </w:r>
    </w:p>
    <w:p>
      <w:pPr>
        <w:spacing w:after="40" w:before="40"/>
      </w:pPr>
      <w:r>
        <w:rPr>
          <w:rFonts w:ascii="Arial" w:cs="Arial" w:eastAsia="Arial" w:hAnsi="Arial"/>
          <w:color w:val="444444"/>
          <w:sz w:val="20"/>
          <w:szCs w:val="20"/>
        </w:rPr>
        <w:t xml:space="preserve">Bonanni, F., Reed, J., Hartzell, G., Trostle, D., Boorse, R., Gittleman, M., &amp; Cole, A. (1994). Laparoscopic versus conventional appendectomy. Journal of the American College of Surgeons, 179(3), 273–278.</w:t>
      </w:r>
    </w:p>
    <w:p>
      <w:pPr>
        <w:spacing w:after="0" w:before="80"/>
      </w:pPr>
      <w:r>
        <w:t xml:space="preserve"/>
      </w:r>
    </w:p>
    <w:p>
      <w:pPr>
        <w:pBdr>
          <w:bottom w:val="single" w:color="1A3A5C" w:sz="6" w:space="2"/>
        </w:pBdr>
        <w:spacing w:after="80" w:before="280"/>
      </w:pPr>
      <w:r>
        <w:rPr>
          <w:rFonts w:ascii="Arial" w:cs="Arial" w:eastAsia="Arial" w:hAnsi="Arial"/>
          <w:b/>
          <w:bCs/>
          <w:color w:val="1A3A5C"/>
          <w:sz w:val="26"/>
          <w:szCs w:val="26"/>
        </w:rPr>
        <w:t xml:space="preserve">AVAILABILITY &amp; CONSULTATION</w:t>
      </w:r>
    </w:p>
    <w:p>
      <w:pPr>
        <w:spacing w:after="40" w:before="40"/>
      </w:pPr>
      <w:r>
        <w:rPr>
          <w:rFonts w:ascii="Arial" w:cs="Arial" w:eastAsia="Arial" w:hAnsi="Arial"/>
          <w:color w:val="444444"/>
          <w:sz w:val="20"/>
          <w:szCs w:val="20"/>
        </w:rPr>
        <w:t xml:space="preserve">Dr. Cole is available for case review, written opinions, deposition preparation, and trial testimony. Cases considered statewide and nationally. Opinions provided for both plaintiff and defense.</w:t>
      </w:r>
    </w:p>
    <w:p>
      <w:pPr>
        <w:spacing w:after="0" w:before="60"/>
      </w:pPr>
      <w:r>
        <w:t xml:space="preserve"/>
      </w:r>
    </w:p>
    <w:p>
      <w:pPr>
        <w:pStyle w:val="ListParagraph"/>
        <w:numPr>
          <w:ilvl w:val="0"/>
          <w:numId w:val="2"/>
        </w:numPr>
        <w:spacing w:after="30" w:before="30"/>
      </w:pPr>
      <w:r>
        <w:rPr>
          <w:rFonts w:ascii="Arial" w:cs="Arial" w:eastAsia="Arial" w:hAnsi="Arial"/>
          <w:color w:val="444444"/>
          <w:sz w:val="20"/>
          <w:szCs w:val="20"/>
        </w:rPr>
        <w:t xml:space="preserve">Initial case review typically completed within 10–15 business days</w:t>
      </w:r>
    </w:p>
    <w:p>
      <w:pPr>
        <w:pStyle w:val="ListParagraph"/>
        <w:numPr>
          <w:ilvl w:val="0"/>
          <w:numId w:val="2"/>
        </w:numPr>
        <w:spacing w:after="30" w:before="30"/>
      </w:pPr>
      <w:r>
        <w:rPr>
          <w:rFonts w:ascii="Arial" w:cs="Arial" w:eastAsia="Arial" w:hAnsi="Arial"/>
          <w:color w:val="444444"/>
          <w:sz w:val="20"/>
          <w:szCs w:val="20"/>
        </w:rPr>
        <w:t xml:space="preserve">Rush review available upon request</w:t>
      </w:r>
    </w:p>
    <w:p>
      <w:pPr>
        <w:pStyle w:val="ListParagraph"/>
        <w:numPr>
          <w:ilvl w:val="0"/>
          <w:numId w:val="2"/>
        </w:numPr>
        <w:spacing w:after="30" w:before="30"/>
      </w:pPr>
      <w:r>
        <w:rPr>
          <w:rFonts w:ascii="Arial" w:cs="Arial" w:eastAsia="Arial" w:hAnsi="Arial"/>
          <w:color w:val="444444"/>
          <w:sz w:val="20"/>
          <w:szCs w:val="20"/>
        </w:rPr>
        <w:t xml:space="preserve">Fee schedule available upon request</w:t>
      </w:r>
    </w:p>
    <w:p>
      <w:pPr>
        <w:pStyle w:val="ListParagraph"/>
        <w:numPr>
          <w:ilvl w:val="0"/>
          <w:numId w:val="2"/>
        </w:numPr>
        <w:spacing w:after="30" w:before="30"/>
      </w:pPr>
      <w:r>
        <w:rPr>
          <w:rFonts w:ascii="Arial" w:cs="Arial" w:eastAsia="Arial" w:hAnsi="Arial"/>
          <w:color w:val="444444"/>
          <w:sz w:val="20"/>
          <w:szCs w:val="20"/>
        </w:rPr>
        <w:t xml:space="preserve">Testimony history available per FRCP 26(a)(2)(B)</w:t>
      </w:r>
    </w:p>
    <w:p>
      <w:pPr>
        <w:spacing w:after="0" w:before="200"/>
      </w:pPr>
      <w:r>
        <w:t xml:space="preserve"/>
      </w:r>
    </w:p>
    <w:p>
      <w:pPr>
        <w:jc w:val="center"/>
      </w:pPr>
      <w:r>
        <w:rPr>
          <w:rFonts w:ascii="Arial" w:cs="Arial" w:eastAsia="Arial" w:hAnsi="Arial"/>
          <w:i/>
          <w:iCs/>
          <w:color w:val="999999"/>
          <w:sz w:val="18"/>
          <w:szCs w:val="18"/>
        </w:rPr>
        <w:t xml:space="preserve">Curriculum vitae current as of June 2026.</w:t>
      </w:r>
    </w:p>
    <w:sectPr>
      <w:pgSz w:w="12240" w:h="15840" w:orient="portrait"/>
      <w:pgMar w:top="1080" w:right="1200" w:bottom="108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2026-06-23T14:23:18.028Z</dcterms:created>
  <dcterms:modified xsi:type="dcterms:W3CDTF">2026-06-23T14:23:18.029Z</dcterms:modified>
</cp:coreProperties>
</file>

<file path=docProps/custom.xml><?xml version="1.0" encoding="utf-8"?>
<Properties xmlns="http://schemas.openxmlformats.org/officeDocument/2006/custom-properties" xmlns:vt="http://schemas.openxmlformats.org/officeDocument/2006/docPropsVTypes"/>
</file>