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ind w:right="-1440"/>
        <w:rPr>
          <w:b/>
          <w:sz w:val="56"/>
          <w:szCs w:val="56"/>
          <w:u w:val="single"/>
        </w:rPr>
      </w:pPr>
      <w:r>
        <w:rPr>
          <w:b/>
          <w:sz w:val="58"/>
          <w:szCs w:val="58"/>
          <w:u w:val="single"/>
        </w:rPr>
        <w:t xml:space="preserve">Brett W. Lorber, </w:t>
      </w:r>
      <w:r>
        <w:rPr>
          <w:b/>
          <w:sz w:val="54"/>
          <w:szCs w:val="54"/>
          <w:u w:val="single"/>
        </w:rPr>
        <w:t>MD, MPH</w:t>
      </w:r>
      <w:r>
        <mc:AlternateContent>
          <mc:Choice Requires="wps">
            <w:drawing>
              <wp:anchor behindDoc="0" distT="5715" distB="5080" distL="5080" distR="5715" simplePos="0" locked="0" layoutInCell="1" allowOverlap="1" relativeHeight="2">
                <wp:simplePos x="0" y="0"/>
                <wp:positionH relativeFrom="column">
                  <wp:posOffset>-266700</wp:posOffset>
                </wp:positionH>
                <wp:positionV relativeFrom="paragraph">
                  <wp:posOffset>38100</wp:posOffset>
                </wp:positionV>
                <wp:extent cx="635" cy="9153525"/>
                <wp:effectExtent l="5080" t="5715" r="5715" b="5080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9153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Shape1" path="m0,0l-2147483648,-2147483647e" stroked="t" o:allowincell="f" style="position:absolute;margin-left:-21pt;margin-top:3pt;width:0pt;height:720.7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b/>
          <w:sz w:val="52"/>
          <w:szCs w:val="52"/>
          <w:u w:val="single"/>
        </w:rPr>
        <w:t xml:space="preserve">           </w:t>
      </w:r>
    </w:p>
    <w:p>
      <w:pPr>
        <w:pStyle w:val="normal1"/>
        <w:ind w:right="-1440"/>
        <w:rPr>
          <w:i/>
          <w:i/>
          <w:sz w:val="24"/>
          <w:szCs w:val="24"/>
        </w:rPr>
      </w:pPr>
      <w:r>
        <w:rPr>
          <w:i/>
          <w:sz w:val="22"/>
          <w:szCs w:val="22"/>
        </w:rPr>
        <w:t>3352 Saint Albans Drive • Los Alamitos, CA 90720 • 310-428-3075 •</w:t>
      </w:r>
      <w:r>
        <w:rPr>
          <w:i/>
          <w:sz w:val="24"/>
          <w:szCs w:val="24"/>
        </w:rPr>
        <w:t xml:space="preserve"> brett@lorberexpert.com</w:t>
      </w:r>
    </w:p>
    <w:p>
      <w:pPr>
        <w:pStyle w:val="normal1"/>
        <w:ind w:right="-1440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1"/>
        <w:ind w:hanging="0" w:left="0" w:right="-1440"/>
        <w:rPr>
          <w:b/>
          <w:sz w:val="44"/>
          <w:szCs w:val="44"/>
        </w:rPr>
      </w:pPr>
      <w:r>
        <w:rPr>
          <w:b/>
          <w:sz w:val="44"/>
          <w:szCs w:val="44"/>
        </w:rPr>
        <w:t>Employment</w:t>
      </w:r>
    </w:p>
    <w:p>
      <w:pPr>
        <w:pStyle w:val="normal1"/>
        <w:ind w:right="-1440"/>
        <w:rPr>
          <w:sz w:val="28"/>
          <w:szCs w:val="28"/>
        </w:rPr>
      </w:pPr>
      <w:r>
        <w:rPr>
          <w:b/>
          <w:sz w:val="28"/>
          <w:szCs w:val="28"/>
        </w:rPr>
        <w:t>Torrance Emergency Physicians, Inc.</w:t>
      </w:r>
    </w:p>
    <w:p>
      <w:pPr>
        <w:pStyle w:val="normal1"/>
        <w:ind w:right="-1440"/>
        <w:rPr>
          <w:b/>
          <w:sz w:val="24"/>
          <w:szCs w:val="24"/>
        </w:rPr>
      </w:pPr>
      <w:r>
        <w:rPr>
          <w:b/>
          <w:sz w:val="24"/>
          <w:szCs w:val="24"/>
        </w:rPr>
        <w:t>Chief of Department of Emergency Medicine, Torrance Memorial Medical Center</w:t>
      </w:r>
    </w:p>
    <w:p>
      <w:pPr>
        <w:pStyle w:val="normal1"/>
        <w:ind w:right="-144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Torrance, CA</w:t>
      </w:r>
    </w:p>
    <w:p>
      <w:pPr>
        <w:pStyle w:val="normal1"/>
        <w:ind w:right="-1440"/>
        <w:rPr/>
      </w:pPr>
      <w:r>
        <w:rPr/>
        <w:t>July 2006 ~ Present</w:t>
      </w:r>
    </w:p>
    <w:p>
      <w:pPr>
        <w:pStyle w:val="normal1"/>
        <w:ind w:right="-1440"/>
        <w:rPr/>
      </w:pPr>
      <w:r>
        <w:rPr/>
      </w:r>
    </w:p>
    <w:p>
      <w:pPr>
        <w:pStyle w:val="normal1"/>
        <w:ind w:right="-1440"/>
        <w:rPr>
          <w:sz w:val="28"/>
          <w:szCs w:val="28"/>
        </w:rPr>
      </w:pPr>
      <w:r>
        <w:rPr>
          <w:b/>
          <w:sz w:val="28"/>
          <w:szCs w:val="28"/>
        </w:rPr>
        <w:t>Torrance Emergency Care Associates, Inc.</w:t>
      </w:r>
    </w:p>
    <w:p>
      <w:pPr>
        <w:pStyle w:val="normal1"/>
        <w:ind w:right="-1440"/>
        <w:rPr>
          <w:b/>
          <w:sz w:val="24"/>
          <w:szCs w:val="24"/>
        </w:rPr>
      </w:pPr>
      <w:r>
        <w:rPr>
          <w:b/>
          <w:sz w:val="24"/>
          <w:szCs w:val="24"/>
        </w:rPr>
        <w:t>Attending Emergency Physician, Torrance Memorial Urgent Care</w:t>
      </w:r>
    </w:p>
    <w:p>
      <w:pPr>
        <w:pStyle w:val="normal1"/>
        <w:ind w:right="-144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Manhattan Beach, CA</w:t>
      </w:r>
    </w:p>
    <w:p>
      <w:pPr>
        <w:pStyle w:val="normal1"/>
        <w:ind w:right="-1440"/>
        <w:rPr/>
      </w:pPr>
      <w:r>
        <w:rPr/>
        <w:t>May 2010 ~ April 2020</w:t>
      </w:r>
    </w:p>
    <w:p>
      <w:pPr>
        <w:pStyle w:val="normal1"/>
        <w:ind w:right="-1440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1"/>
        <w:ind w:right="-1440"/>
        <w:rPr>
          <w:sz w:val="28"/>
          <w:szCs w:val="28"/>
        </w:rPr>
      </w:pPr>
      <w:r>
        <w:rPr>
          <w:b/>
          <w:sz w:val="28"/>
          <w:szCs w:val="28"/>
        </w:rPr>
        <w:t>Olive View - UCLA Medical Center</w:t>
      </w:r>
    </w:p>
    <w:p>
      <w:pPr>
        <w:pStyle w:val="normal1"/>
        <w:ind w:right="-1440"/>
        <w:rPr>
          <w:b/>
          <w:sz w:val="24"/>
          <w:szCs w:val="24"/>
        </w:rPr>
      </w:pPr>
      <w:r>
        <w:rPr>
          <w:b/>
          <w:sz w:val="24"/>
          <w:szCs w:val="24"/>
        </w:rPr>
        <w:t>Per Diem Physician, Department of Emergency Medicine</w:t>
      </w:r>
    </w:p>
    <w:p>
      <w:pPr>
        <w:pStyle w:val="normal1"/>
        <w:ind w:right="-144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Sylmar, CA</w:t>
      </w:r>
    </w:p>
    <w:p>
      <w:pPr>
        <w:pStyle w:val="normal1"/>
        <w:ind w:right="-1440"/>
        <w:rPr>
          <w:b/>
          <w:sz w:val="16"/>
          <w:szCs w:val="16"/>
        </w:rPr>
      </w:pPr>
      <w:r>
        <w:rPr/>
        <w:t>August 2006 ~ May 2008</w:t>
      </w:r>
    </w:p>
    <w:p>
      <w:pPr>
        <w:pStyle w:val="normal1"/>
        <w:ind w:right="-1440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1"/>
        <w:ind w:right="-1440"/>
        <w:rPr>
          <w:sz w:val="28"/>
          <w:szCs w:val="28"/>
        </w:rPr>
      </w:pPr>
      <w:r>
        <w:rPr>
          <w:b/>
          <w:sz w:val="28"/>
          <w:szCs w:val="28"/>
        </w:rPr>
        <w:t>Southern California Permanente Medical Group, Baldwin Park Medical Center</w:t>
      </w:r>
    </w:p>
    <w:p>
      <w:pPr>
        <w:pStyle w:val="normal1"/>
        <w:ind w:right="-1440"/>
        <w:rPr>
          <w:b/>
          <w:sz w:val="24"/>
          <w:szCs w:val="24"/>
        </w:rPr>
      </w:pPr>
      <w:r>
        <w:rPr>
          <w:b/>
          <w:sz w:val="24"/>
          <w:szCs w:val="24"/>
        </w:rPr>
        <w:t>Per Diem Physician, Department of Emergency Medicine</w:t>
      </w:r>
    </w:p>
    <w:p>
      <w:pPr>
        <w:pStyle w:val="normal1"/>
        <w:ind w:right="-144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Baldwin Park, CA</w:t>
      </w:r>
    </w:p>
    <w:p>
      <w:pPr>
        <w:pStyle w:val="normal1"/>
        <w:ind w:right="-1440"/>
        <w:rPr/>
      </w:pPr>
      <w:r>
        <w:rPr/>
        <w:t>August 2004 ~ July 2006</w:t>
      </w:r>
    </w:p>
    <w:p>
      <w:pPr>
        <w:pStyle w:val="normal1"/>
        <w:ind w:right="-1440"/>
        <w:rPr/>
      </w:pPr>
      <w:r>
        <w:rPr/>
      </w:r>
    </w:p>
    <w:p>
      <w:pPr>
        <w:pStyle w:val="normal1"/>
        <w:ind w:right="-1440"/>
        <w:rPr/>
      </w:pPr>
      <w:r>
        <w:rPr/>
      </w:r>
    </w:p>
    <w:p>
      <w:pPr>
        <w:pStyle w:val="normal1"/>
        <w:ind w:right="-1440"/>
        <w:rPr>
          <w:b/>
          <w:sz w:val="44"/>
          <w:szCs w:val="44"/>
        </w:rPr>
      </w:pPr>
      <w:r>
        <w:rPr>
          <w:b/>
          <w:sz w:val="44"/>
          <w:szCs w:val="44"/>
        </w:rPr>
        <w:t>Postgraduate Training</w:t>
      </w:r>
    </w:p>
    <w:p>
      <w:pPr>
        <w:pStyle w:val="normal1"/>
        <w:ind w:right="-1440"/>
        <w:rPr>
          <w:b/>
          <w:sz w:val="28"/>
          <w:szCs w:val="28"/>
        </w:rPr>
      </w:pPr>
      <w:r>
        <w:rPr>
          <w:b/>
          <w:sz w:val="28"/>
          <w:szCs w:val="28"/>
        </w:rPr>
        <w:t>UCLA/Olive View - UCLA Emergency Medicine Residency Program</w:t>
      </w:r>
    </w:p>
    <w:p>
      <w:pPr>
        <w:pStyle w:val="normal1"/>
        <w:ind w:right="-144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Los Angeles, CA</w:t>
      </w:r>
    </w:p>
    <w:p>
      <w:pPr>
        <w:pStyle w:val="normal1"/>
        <w:ind w:right="-1440"/>
        <w:rPr>
          <w:sz w:val="24"/>
          <w:szCs w:val="24"/>
        </w:rPr>
      </w:pPr>
      <w:r>
        <w:rPr>
          <w:sz w:val="24"/>
          <w:szCs w:val="24"/>
        </w:rPr>
        <w:t>Resident in Emergency Medicine</w:t>
      </w:r>
    </w:p>
    <w:p>
      <w:pPr>
        <w:pStyle w:val="normal1"/>
        <w:ind w:right="-1440"/>
        <w:rPr/>
      </w:pPr>
      <w:r>
        <w:rPr/>
        <w:t>July 2003 ~ June 2006</w:t>
      </w:r>
    </w:p>
    <w:p>
      <w:pPr>
        <w:pStyle w:val="normal1"/>
        <w:ind w:right="-1440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1"/>
        <w:ind w:right="-1440"/>
        <w:rPr>
          <w:b/>
          <w:sz w:val="28"/>
          <w:szCs w:val="28"/>
        </w:rPr>
      </w:pPr>
      <w:r>
        <w:rPr>
          <w:b/>
          <w:sz w:val="28"/>
          <w:szCs w:val="28"/>
        </w:rPr>
        <w:t>University of Hawai'i Transitional Residency Program</w:t>
      </w:r>
    </w:p>
    <w:p>
      <w:pPr>
        <w:pStyle w:val="normal1"/>
        <w:ind w:right="-144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Honolulu, HI</w:t>
      </w:r>
    </w:p>
    <w:p>
      <w:pPr>
        <w:pStyle w:val="normal1"/>
        <w:ind w:right="-1440"/>
        <w:rPr>
          <w:sz w:val="24"/>
          <w:szCs w:val="24"/>
        </w:rPr>
      </w:pPr>
      <w:r>
        <w:rPr>
          <w:sz w:val="24"/>
          <w:szCs w:val="24"/>
        </w:rPr>
        <w:t>Transitional (Rotating) Intern</w:t>
      </w:r>
    </w:p>
    <w:p>
      <w:pPr>
        <w:pStyle w:val="normal1"/>
        <w:ind w:right="-1440"/>
        <w:rPr>
          <w:b/>
          <w:sz w:val="12"/>
          <w:szCs w:val="12"/>
        </w:rPr>
      </w:pPr>
      <w:r>
        <w:rPr/>
        <w:t>June 2002 ~ June 2003</w:t>
      </w:r>
    </w:p>
    <w:p>
      <w:pPr>
        <w:pStyle w:val="normal1"/>
        <w:ind w:right="-144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1"/>
        <w:ind w:right="-1440"/>
        <w:rPr>
          <w:b/>
          <w:sz w:val="44"/>
          <w:szCs w:val="44"/>
        </w:rPr>
      </w:pPr>
      <w:r>
        <w:rPr>
          <w:b/>
          <w:sz w:val="44"/>
          <w:szCs w:val="44"/>
        </w:rPr>
        <w:t>Education</w:t>
      </w:r>
    </w:p>
    <w:p>
      <w:pPr>
        <w:pStyle w:val="normal1"/>
        <w:ind w:right="-1440"/>
        <w:rPr>
          <w:b/>
          <w:sz w:val="28"/>
          <w:szCs w:val="28"/>
        </w:rPr>
      </w:pPr>
      <w:r>
        <w:rPr>
          <w:b/>
          <w:sz w:val="28"/>
          <w:szCs w:val="28"/>
        </w:rPr>
        <w:t>Rosalind Franklin University of Medicine &amp; Science/The Chicago Medical School</w:t>
      </w:r>
    </w:p>
    <w:p>
      <w:pPr>
        <w:pStyle w:val="normal1"/>
        <w:ind w:right="-144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North Chicago, IL</w:t>
      </w:r>
    </w:p>
    <w:p>
      <w:pPr>
        <w:pStyle w:val="normal1"/>
        <w:ind w:right="-1440"/>
        <w:rPr>
          <w:sz w:val="24"/>
          <w:szCs w:val="24"/>
        </w:rPr>
      </w:pPr>
      <w:r>
        <w:rPr>
          <w:sz w:val="24"/>
          <w:szCs w:val="24"/>
        </w:rPr>
        <w:t>Doctor of Medicine ~ Graduated with AOA Honors</w:t>
      </w:r>
    </w:p>
    <w:p>
      <w:pPr>
        <w:pStyle w:val="normal1"/>
        <w:ind w:right="-1440"/>
        <w:rPr/>
      </w:pPr>
      <w:r>
        <w:rPr/>
        <w:t>July 1998 ~ June 2002</w:t>
      </w:r>
    </w:p>
    <w:p>
      <w:pPr>
        <w:pStyle w:val="normal1"/>
        <w:ind w:right="-1440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1"/>
        <w:ind w:right="-1440"/>
        <w:rPr>
          <w:b/>
          <w:sz w:val="28"/>
          <w:szCs w:val="28"/>
        </w:rPr>
      </w:pPr>
      <w:r>
        <w:rPr>
          <w:b/>
          <w:sz w:val="28"/>
          <w:szCs w:val="28"/>
        </w:rPr>
        <w:t>University of California, Los Angeles</w:t>
      </w:r>
    </w:p>
    <w:p>
      <w:pPr>
        <w:pStyle w:val="normal1"/>
        <w:ind w:right="-144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Los Angeles, CA</w:t>
      </w:r>
    </w:p>
    <w:p>
      <w:pPr>
        <w:pStyle w:val="normal1"/>
        <w:ind w:right="-1440"/>
        <w:rPr>
          <w:sz w:val="24"/>
          <w:szCs w:val="24"/>
        </w:rPr>
      </w:pPr>
      <w:r>
        <w:rPr>
          <w:sz w:val="24"/>
          <w:szCs w:val="24"/>
        </w:rPr>
        <w:t>Masters in Public Health, Epidemiology</w:t>
      </w:r>
    </w:p>
    <w:p>
      <w:pPr>
        <w:pStyle w:val="normal1"/>
        <w:ind w:right="-1440"/>
        <w:rPr/>
      </w:pPr>
      <w:r>
        <w:rPr/>
        <w:t>September 1996 ~ June 1998</w:t>
      </w:r>
    </w:p>
    <w:p>
      <w:pPr>
        <w:pStyle w:val="normal1"/>
        <w:ind w:right="-1440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1"/>
        <w:ind w:right="-1440"/>
        <w:rPr>
          <w:b/>
          <w:sz w:val="28"/>
          <w:szCs w:val="28"/>
        </w:rPr>
      </w:pPr>
      <w:r>
        <w:rPr>
          <w:b/>
          <w:sz w:val="28"/>
          <w:szCs w:val="28"/>
        </w:rPr>
        <w:t>University of California, Los Angeles</w:t>
      </w:r>
    </w:p>
    <w:p>
      <w:pPr>
        <w:pStyle w:val="normal1"/>
        <w:ind w:right="-144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Los Angeles, CA</w:t>
      </w:r>
    </w:p>
    <w:p>
      <w:pPr>
        <w:pStyle w:val="normal1"/>
        <w:ind w:right="-1440"/>
        <w:rPr>
          <w:sz w:val="24"/>
          <w:szCs w:val="24"/>
        </w:rPr>
      </w:pPr>
      <w:r>
        <w:rPr>
          <w:sz w:val="24"/>
          <w:szCs w:val="24"/>
        </w:rPr>
        <w:t>Bachelor of Science, Biology</w:t>
      </w:r>
    </w:p>
    <w:p>
      <w:pPr>
        <w:pStyle w:val="normal1"/>
        <w:ind w:right="-1440"/>
        <w:rPr/>
      </w:pPr>
      <w:r>
        <w:rPr/>
        <w:t>September 1991 ~ June 1995</w:t>
      </w:r>
    </w:p>
    <w:p>
      <w:pPr>
        <w:pStyle w:val="normal1"/>
        <w:ind w:right="-1440"/>
        <w:rPr>
          <w:b/>
          <w:sz w:val="44"/>
          <w:szCs w:val="44"/>
        </w:rPr>
      </w:pPr>
      <w:r>
        <mc:AlternateContent>
          <mc:Choice Requires="wps">
            <w:drawing>
              <wp:anchor behindDoc="0" distT="5080" distB="5715" distL="5080" distR="5715" simplePos="0" locked="0" layoutInCell="1" allowOverlap="1" relativeHeight="3">
                <wp:simplePos x="0" y="0"/>
                <wp:positionH relativeFrom="column">
                  <wp:posOffset>-254000</wp:posOffset>
                </wp:positionH>
                <wp:positionV relativeFrom="paragraph">
                  <wp:posOffset>635</wp:posOffset>
                </wp:positionV>
                <wp:extent cx="635" cy="9220200"/>
                <wp:effectExtent l="5080" t="5080" r="5715" b="5715"/>
                <wp:wrapNone/>
                <wp:docPr id="2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9220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2" path="m0,0l-2147483648,-2147483647e" stroked="t" o:allowincell="f" style="position:absolute;margin-left:-20pt;margin-top:0.05pt;width:0pt;height:725.95pt;mso-wrap-style:none;v-text-anchor:middle" type="_x0000_t32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  <w:r>
        <w:rPr>
          <w:b/>
          <w:sz w:val="44"/>
          <w:szCs w:val="44"/>
        </w:rPr>
        <w:t>Professional Licensure/Certifications</w:t>
      </w:r>
    </w:p>
    <w:p>
      <w:pPr>
        <w:pStyle w:val="normal1"/>
        <w:ind w:right="-1440"/>
        <w:rPr>
          <w:b/>
          <w:sz w:val="28"/>
          <w:szCs w:val="28"/>
        </w:rPr>
      </w:pPr>
      <w:r>
        <w:rPr>
          <w:b/>
          <w:sz w:val="28"/>
          <w:szCs w:val="28"/>
        </w:rPr>
        <w:t>Current California Medical License #A84714 (9/19/2003 – present)</w:t>
      </w:r>
    </w:p>
    <w:p>
      <w:pPr>
        <w:pStyle w:val="normal1"/>
        <w:ind w:right="-1440"/>
        <w:rPr>
          <w:b/>
          <w:sz w:val="28"/>
          <w:szCs w:val="28"/>
        </w:rPr>
      </w:pPr>
      <w:r>
        <w:rPr>
          <w:b/>
          <w:sz w:val="28"/>
          <w:szCs w:val="28"/>
        </w:rPr>
        <w:t>Board Certified Emergency Physician (June 2007 – present)</w:t>
      </w:r>
    </w:p>
    <w:p>
      <w:pPr>
        <w:pStyle w:val="normal1"/>
        <w:ind w:right="-1440"/>
        <w:rPr>
          <w:b/>
          <w:sz w:val="28"/>
          <w:szCs w:val="28"/>
        </w:rPr>
      </w:pPr>
      <w:r>
        <w:rPr>
          <w:b/>
          <w:sz w:val="28"/>
          <w:szCs w:val="28"/>
        </w:rPr>
        <w:t>Current DEA License</w:t>
      </w:r>
    </w:p>
    <w:p>
      <w:pPr>
        <w:pStyle w:val="normal1"/>
        <w:ind w:right="-1440"/>
        <w:rPr>
          <w:b/>
          <w:sz w:val="28"/>
          <w:szCs w:val="28"/>
        </w:rPr>
      </w:pPr>
      <w:r>
        <w:rPr>
          <w:b/>
          <w:sz w:val="28"/>
          <w:szCs w:val="28"/>
        </w:rPr>
        <w:t>NPI# 1225148042</w:t>
      </w:r>
    </w:p>
    <w:p>
      <w:pPr>
        <w:pStyle w:val="normal1"/>
        <w:ind w:right="-144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1"/>
        <w:ind w:right="-1440"/>
        <w:rPr>
          <w:i/>
          <w:i/>
        </w:rPr>
      </w:pPr>
      <w:r>
        <w:rPr>
          <w:i/>
        </w:rPr>
      </w:r>
    </w:p>
    <w:p>
      <w:pPr>
        <w:pStyle w:val="normal1"/>
        <w:ind w:right="-1440"/>
        <w:rPr>
          <w:sz w:val="28"/>
          <w:szCs w:val="28"/>
        </w:rPr>
      </w:pPr>
      <w:r>
        <w:rPr>
          <w:sz w:val="28"/>
          <w:szCs w:val="28"/>
        </w:rPr>
      </w:r>
      <w:bookmarkStart w:id="0" w:name="_heading=h.gjdgxs"/>
      <w:bookmarkStart w:id="1" w:name="_heading=h.gjdgxs"/>
      <w:bookmarkEnd w:id="1"/>
    </w:p>
    <w:p>
      <w:pPr>
        <w:pStyle w:val="normal1"/>
        <w:ind w:right="-1440"/>
        <w:rPr>
          <w:b/>
          <w:sz w:val="44"/>
          <w:szCs w:val="44"/>
        </w:rPr>
      </w:pPr>
      <w:r>
        <w:rPr>
          <w:b/>
          <w:sz w:val="44"/>
          <w:szCs w:val="44"/>
        </w:rPr>
        <w:t>Publications</w:t>
      </w:r>
    </w:p>
    <w:p>
      <w:pPr>
        <w:pStyle w:val="normal1"/>
        <w:ind w:right="-1440"/>
        <w:rPr>
          <w:sz w:val="22"/>
          <w:szCs w:val="22"/>
        </w:rPr>
      </w:pPr>
      <w:r>
        <w:rPr>
          <w:sz w:val="22"/>
          <w:szCs w:val="22"/>
        </w:rPr>
        <w:t>Davidson MB, Schriger DL, Peters AL,</w:t>
      </w:r>
      <w:r>
        <w:rPr>
          <w:b/>
          <w:sz w:val="22"/>
          <w:szCs w:val="22"/>
        </w:rPr>
        <w:t xml:space="preserve"> Lorber B</w:t>
      </w:r>
      <w:r>
        <w:rPr>
          <w:sz w:val="22"/>
          <w:szCs w:val="22"/>
        </w:rPr>
        <w:t xml:space="preserve">. Relationship between fasting plasma glucose and glycosylated hemoglobin: potential for false-positive diagnoses of type 2 diabetes using new diagnostic criteria. </w:t>
      </w:r>
      <w:r>
        <w:rPr>
          <w:i/>
          <w:sz w:val="22"/>
          <w:szCs w:val="22"/>
        </w:rPr>
        <w:t>JAMA</w:t>
      </w:r>
      <w:r>
        <w:rPr>
          <w:sz w:val="22"/>
          <w:szCs w:val="22"/>
        </w:rPr>
        <w:t xml:space="preserve"> 1999; 281(23):2187.</w:t>
      </w:r>
    </w:p>
    <w:p>
      <w:pPr>
        <w:pStyle w:val="normal1"/>
        <w:ind w:right="-144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1"/>
        <w:ind w:right="-1440"/>
        <w:rPr>
          <w:sz w:val="22"/>
          <w:szCs w:val="22"/>
        </w:rPr>
      </w:pPr>
      <w:r>
        <w:rPr>
          <w:sz w:val="22"/>
          <w:szCs w:val="22"/>
        </w:rPr>
        <w:t xml:space="preserve">Davidson MB, Schriger DL, Peters AL, </w:t>
      </w:r>
      <w:r>
        <w:rPr>
          <w:b/>
          <w:sz w:val="22"/>
          <w:szCs w:val="22"/>
        </w:rPr>
        <w:t>Lorber B</w:t>
      </w:r>
      <w:r>
        <w:rPr>
          <w:sz w:val="22"/>
          <w:szCs w:val="22"/>
        </w:rPr>
        <w:t xml:space="preserve">. Diagnosing diabetes. A practitioner's plea: keep it simple. </w:t>
      </w:r>
      <w:r>
        <w:rPr>
          <w:i/>
          <w:sz w:val="22"/>
          <w:szCs w:val="22"/>
        </w:rPr>
        <w:t>J Gen Intern Med</w:t>
      </w:r>
      <w:r>
        <w:rPr>
          <w:sz w:val="22"/>
          <w:szCs w:val="22"/>
        </w:rPr>
        <w:t>. 2000; 15(8):551-5.</w:t>
      </w:r>
    </w:p>
    <w:p>
      <w:pPr>
        <w:pStyle w:val="normal1"/>
        <w:ind w:right="-144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1"/>
        <w:ind w:right="-1440"/>
        <w:rPr>
          <w:sz w:val="22"/>
          <w:szCs w:val="22"/>
        </w:rPr>
      </w:pPr>
      <w:r>
        <w:rPr>
          <w:sz w:val="22"/>
          <w:szCs w:val="22"/>
        </w:rPr>
        <w:t xml:space="preserve">Brandle M, Davidson MB, Schriger DL, </w:t>
      </w:r>
      <w:r>
        <w:rPr>
          <w:b/>
          <w:sz w:val="22"/>
          <w:szCs w:val="22"/>
        </w:rPr>
        <w:t>Lorber B</w:t>
      </w:r>
      <w:r>
        <w:rPr>
          <w:sz w:val="22"/>
          <w:szCs w:val="22"/>
        </w:rPr>
        <w:t xml:space="preserve">, Herman WH. Cost effectiveness of statin therapy for the primary prevention of major coronary events in individuals with type 2 diabetes. </w:t>
      </w:r>
      <w:r>
        <w:rPr>
          <w:i/>
          <w:sz w:val="22"/>
          <w:szCs w:val="22"/>
        </w:rPr>
        <w:t>Diabetes Care</w:t>
      </w:r>
      <w:r>
        <w:rPr>
          <w:sz w:val="22"/>
          <w:szCs w:val="22"/>
        </w:rPr>
        <w:t>. 2003; 26(6):1796-801.</w:t>
      </w:r>
    </w:p>
    <w:p>
      <w:pPr>
        <w:pStyle w:val="normal1"/>
        <w:ind w:right="-144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1"/>
        <w:ind w:right="-1440"/>
        <w:rPr/>
      </w:pPr>
      <w:r>
        <w:rPr>
          <w:sz w:val="22"/>
          <w:szCs w:val="22"/>
        </w:rPr>
        <w:t xml:space="preserve">Schriger DL, </w:t>
      </w:r>
      <w:r>
        <w:rPr>
          <w:b/>
          <w:sz w:val="22"/>
          <w:szCs w:val="22"/>
        </w:rPr>
        <w:t>Lorber B</w:t>
      </w:r>
      <w:r>
        <w:rPr>
          <w:sz w:val="22"/>
          <w:szCs w:val="22"/>
        </w:rPr>
        <w:t xml:space="preserve">. Lowering the cut point for impaired fasting glucose: where is the evidence? Where is the logic? </w:t>
      </w:r>
      <w:r>
        <w:rPr>
          <w:i/>
          <w:sz w:val="22"/>
          <w:szCs w:val="22"/>
        </w:rPr>
        <w:t xml:space="preserve">Diabetes Care. </w:t>
      </w:r>
      <w:r>
        <w:rPr>
          <w:sz w:val="22"/>
          <w:szCs w:val="22"/>
        </w:rPr>
        <w:t>2004; 27: 592-602.</w:t>
      </w:r>
    </w:p>
    <w:sectPr>
      <w:type w:val="nextPage"/>
      <w:pgSz w:w="12240" w:h="15840"/>
      <w:pgMar w:left="1800" w:right="1800" w:gutter="0" w:header="0" w:top="540" w:footer="0" w:bottom="72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2c6c6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4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cumentMapChar" w:customStyle="1">
    <w:name w:val="Document Map Char"/>
    <w:basedOn w:val="DefaultParagraphFont"/>
    <w:link w:val="DocumentMap"/>
    <w:qFormat/>
    <w:rsid w:val="003f445e"/>
    <w:rPr>
      <w:rFonts w:ascii="Tahoma" w:hAnsi="Tahoma" w:cs="Tahoma"/>
      <w:sz w:val="16"/>
      <w:szCs w:val="16"/>
      <w:lang w:eastAsia="zh-CN"/>
    </w:rPr>
  </w:style>
  <w:style w:type="character" w:styleId="Strong">
    <w:name w:val="Strong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DocumentMap">
    <w:name w:val="Document Map"/>
    <w:basedOn w:val="normal1"/>
    <w:link w:val="DocumentMapChar"/>
    <w:qFormat/>
    <w:rsid w:val="003f445e"/>
    <w:pPr/>
    <w:rPr>
      <w:rFonts w:ascii="Tahoma" w:hAnsi="Tahoma" w:cs="Tahoma"/>
      <w:sz w:val="16"/>
      <w:szCs w:val="16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JksQSIIeJV89GwEZhWlRdOLUesQ==">CgMxLjAyCGguZ2pkZ3hzOAByITFXVHhDZ0JnZEZEY2dGOXhrVnktVzNVUlhUaHZKRGVTYw==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</TotalTime>
  <Application>LibreOffice/25.2.7.2$Windows_X86_64 LibreOffice_project/5cbfd1ab6520636bb5f7b99185aa69bd7456825d</Application>
  <AppVersion>15.0000</AppVersion>
  <Pages>2</Pages>
  <Words>336</Words>
  <Characters>2001</Characters>
  <CharactersWithSpaces>2299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2015-11-09T17:40:00Z</dcterms:created>
  <dc:creator>user</dc:creator>
  <dc:description/>
  <dc:language>en-US</dc:language>
  <cp:lastModifiedBy/>
  <dcterms:modified xsi:type="dcterms:W3CDTF">2026-03-18T13:44:30Z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