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5CAA" w:rsidRDefault="00000000">
      <w:pPr>
        <w:spacing w:after="60"/>
        <w:jc w:val="center"/>
      </w:pPr>
      <w:r>
        <w:rPr>
          <w:b/>
          <w:bCs/>
          <w:color w:val="1A3A5C"/>
          <w:sz w:val="36"/>
          <w:szCs w:val="36"/>
        </w:rPr>
        <w:t>JOHN T. SAXON, MD, FACC, FSCAI</w:t>
      </w:r>
    </w:p>
    <w:p w:rsidR="00915CAA" w:rsidRDefault="00000000">
      <w:pPr>
        <w:spacing w:after="60"/>
        <w:jc w:val="center"/>
      </w:pPr>
      <w:r>
        <w:rPr>
          <w:i/>
          <w:iCs/>
          <w:sz w:val="24"/>
          <w:szCs w:val="24"/>
        </w:rPr>
        <w:t>Board-Certified Interventional Cardiologist</w:t>
      </w:r>
    </w:p>
    <w:p w:rsidR="00915CAA" w:rsidRDefault="00000000">
      <w:pPr>
        <w:spacing w:after="60"/>
        <w:jc w:val="center"/>
      </w:pPr>
      <w:r>
        <w:t>Structural Heart Disease  |  Valve Interventions  |  Coronary Interventions</w:t>
      </w:r>
    </w:p>
    <w:p w:rsidR="009B03AE" w:rsidRDefault="009B03AE">
      <w:pPr>
        <w:spacing w:after="60"/>
        <w:jc w:val="center"/>
      </w:pPr>
      <w:r>
        <w:t xml:space="preserve">University of Virginia Health </w:t>
      </w:r>
    </w:p>
    <w:p w:rsidR="00915CAA" w:rsidRPr="00B2206C" w:rsidRDefault="00000000">
      <w:pPr>
        <w:spacing w:after="200"/>
        <w:jc w:val="center"/>
      </w:pPr>
      <w:r w:rsidRPr="00B2206C">
        <w:t>1900 Cobblestone Lane, Charlottesville, VA 22901</w:t>
      </w:r>
    </w:p>
    <w:p w:rsidR="00915CAA" w:rsidRDefault="00000000">
      <w:pPr>
        <w:spacing w:after="300"/>
        <w:jc w:val="center"/>
      </w:pPr>
      <w:r>
        <w:rPr>
          <w:sz w:val="20"/>
          <w:szCs w:val="20"/>
        </w:rPr>
        <w:t>(601) 954-9399  |  jtsaxon@gmail.com</w:t>
      </w:r>
    </w:p>
    <w:p w:rsidR="00915CAA" w:rsidRDefault="00000000">
      <w:pPr>
        <w:pBdr>
          <w:bottom w:val="single" w:sz="6" w:space="0" w:color="1A3A5C"/>
        </w:pBdr>
        <w:spacing w:before="300" w:after="120"/>
      </w:pPr>
      <w:r>
        <w:rPr>
          <w:b/>
          <w:bCs/>
          <w:color w:val="1A3A5C"/>
          <w:sz w:val="24"/>
          <w:szCs w:val="24"/>
        </w:rPr>
        <w:t>PROFESSIONAL SUMMARY</w:t>
      </w:r>
    </w:p>
    <w:p w:rsidR="00915CAA" w:rsidRDefault="00000000">
      <w:pPr>
        <w:spacing w:before="60" w:after="60"/>
      </w:pPr>
      <w:r>
        <w:t>Board-certified interventional cardiologist with over 1</w:t>
      </w:r>
      <w:r w:rsidR="00403197">
        <w:t>2</w:t>
      </w:r>
      <w:r>
        <w:t xml:space="preserve"> years of clinical experience specializing in structural heart interventions, transcatheter valve therapies, and complex coronary interventions. Director of the Advanced Cardiac Valve Center and Structural Cardiology Fellowship at the University of Virginia. Extensive experience in procedural decision-making, standard of care, and management of catheterization laboratory complications. Available for case review, deposition, and trial testimony for both plaintiff and defense.</w:t>
      </w:r>
    </w:p>
    <w:p w:rsidR="00915CAA" w:rsidRDefault="00000000">
      <w:pPr>
        <w:pBdr>
          <w:bottom w:val="single" w:sz="6" w:space="0" w:color="1A3A5C"/>
        </w:pBdr>
        <w:spacing w:before="300" w:after="120"/>
      </w:pPr>
      <w:r>
        <w:rPr>
          <w:b/>
          <w:bCs/>
          <w:color w:val="1A3A5C"/>
          <w:sz w:val="24"/>
          <w:szCs w:val="24"/>
        </w:rPr>
        <w:t>BOARD CERTIFICATIONS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2019</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Adult Congenital Heart Disease (ABIM)</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2017</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Interventional Cardiology (ABIM)</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2015</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Cardiovascular Disease (ABIM)</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2011</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Internal Medicine (ABIM)</w:t>
            </w:r>
          </w:p>
        </w:tc>
      </w:tr>
    </w:tbl>
    <w:p w:rsidR="00915CAA" w:rsidRDefault="00000000">
      <w:pPr>
        <w:pBdr>
          <w:bottom w:val="single" w:sz="6" w:space="0" w:color="1A3A5C"/>
        </w:pBdr>
        <w:spacing w:before="300" w:after="120"/>
      </w:pPr>
      <w:r>
        <w:rPr>
          <w:b/>
          <w:bCs/>
          <w:color w:val="1A3A5C"/>
          <w:sz w:val="24"/>
          <w:szCs w:val="24"/>
        </w:rPr>
        <w:t>MEDICAL LICENSURE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rsidTr="009B03AE">
        <w:tblPrEx>
          <w:tblCellMar>
            <w:top w:w="0" w:type="dxa"/>
            <w:bottom w:w="0" w:type="dxa"/>
          </w:tblCellMar>
        </w:tblPrEx>
        <w:tc>
          <w:tcPr>
            <w:tcW w:w="2692" w:type="dxa"/>
            <w:tcBorders>
              <w:top w:val="none" w:sz="0" w:space="0" w:color="FFFFFF"/>
              <w:left w:val="none" w:sz="0" w:space="0" w:color="FFFFFF"/>
              <w:bottom w:val="none" w:sz="0" w:space="0" w:color="FFFFFF"/>
              <w:right w:val="none" w:sz="0" w:space="0" w:color="FFFFFF"/>
            </w:tcBorders>
          </w:tcPr>
          <w:p w:rsidR="009B03AE" w:rsidRDefault="009B03AE">
            <w:pPr>
              <w:rPr>
                <w:color w:val="555555"/>
              </w:rPr>
            </w:pPr>
            <w:r>
              <w:rPr>
                <w:color w:val="555555"/>
              </w:rPr>
              <w:t xml:space="preserve">Arizona </w:t>
            </w:r>
          </w:p>
          <w:p w:rsidR="00915CAA" w:rsidRDefault="00000000">
            <w:r>
              <w:rPr>
                <w:color w:val="555555"/>
              </w:rPr>
              <w:t>Virginia</w:t>
            </w:r>
          </w:p>
        </w:tc>
        <w:tc>
          <w:tcPr>
            <w:tcW w:w="7388" w:type="dxa"/>
            <w:tcBorders>
              <w:top w:val="none" w:sz="0" w:space="0" w:color="FFFFFF"/>
              <w:left w:val="none" w:sz="0" w:space="0" w:color="FFFFFF"/>
              <w:bottom w:val="none" w:sz="0" w:space="0" w:color="FFFFFF"/>
              <w:right w:val="none" w:sz="0" w:space="0" w:color="FFFFFF"/>
            </w:tcBorders>
          </w:tcPr>
          <w:p w:rsidR="009B03AE" w:rsidRDefault="009B03AE">
            <w:r>
              <w:t>Active and Unrestricted</w:t>
            </w:r>
          </w:p>
          <w:p w:rsidR="00915CAA" w:rsidRDefault="00000000">
            <w:r>
              <w:t xml:space="preserve">Active and Unrestricted </w:t>
            </w:r>
          </w:p>
        </w:tc>
      </w:tr>
    </w:tbl>
    <w:p w:rsidR="00915CAA" w:rsidRDefault="00000000">
      <w:pPr>
        <w:pBdr>
          <w:bottom w:val="single" w:sz="6" w:space="0" w:color="1A3A5C"/>
        </w:pBdr>
        <w:spacing w:before="300" w:after="120"/>
      </w:pPr>
      <w:r>
        <w:rPr>
          <w:b/>
          <w:bCs/>
          <w:color w:val="1A3A5C"/>
          <w:sz w:val="24"/>
          <w:szCs w:val="24"/>
        </w:rPr>
        <w:t>CLINICAL EXPERTISE &amp; PROCEDURAL VOLUME</w:t>
      </w:r>
    </w:p>
    <w:p w:rsidR="00915CAA" w:rsidRDefault="00000000">
      <w:pPr>
        <w:spacing w:before="200" w:after="80"/>
      </w:pPr>
      <w:r>
        <w:rPr>
          <w:b/>
          <w:bCs/>
        </w:rPr>
        <w:t>Structural Heart Interventions</w:t>
      </w:r>
    </w:p>
    <w:p w:rsidR="00915CAA" w:rsidRDefault="00000000">
      <w:pPr>
        <w:spacing w:before="60" w:after="60"/>
      </w:pPr>
      <w:r>
        <w:t>Over 3,000 structural heart procedures performed, including:</w:t>
      </w:r>
    </w:p>
    <w:p w:rsidR="00915CAA" w:rsidRDefault="00000000">
      <w:pPr>
        <w:spacing w:before="60" w:after="60"/>
        <w:ind w:left="360"/>
      </w:pPr>
      <w:r>
        <w:t>Transcatheter Aortic Valve Replacement (TAVR)</w:t>
      </w:r>
    </w:p>
    <w:p w:rsidR="00915CAA" w:rsidRDefault="00000000">
      <w:pPr>
        <w:spacing w:before="60" w:after="60"/>
        <w:ind w:left="360"/>
      </w:pPr>
      <w:r>
        <w:t>Transcatheter Mitral Valve Repair (</w:t>
      </w:r>
      <w:proofErr w:type="spellStart"/>
      <w:r>
        <w:t>MitraClip</w:t>
      </w:r>
      <w:proofErr w:type="spellEnd"/>
      <w:r>
        <w:t xml:space="preserve"> / TEER)</w:t>
      </w:r>
    </w:p>
    <w:p w:rsidR="00915CAA" w:rsidRDefault="00000000">
      <w:pPr>
        <w:spacing w:before="60" w:after="60"/>
        <w:ind w:left="360"/>
      </w:pPr>
      <w:r>
        <w:t>Transcatheter Tricuspid Valve Repair</w:t>
      </w:r>
      <w:r w:rsidR="009B03AE">
        <w:t xml:space="preserve"> and Replacement </w:t>
      </w:r>
    </w:p>
    <w:p w:rsidR="00915CAA" w:rsidRDefault="00000000">
      <w:pPr>
        <w:spacing w:before="60" w:after="60"/>
        <w:ind w:left="360"/>
      </w:pPr>
      <w:r>
        <w:t>Left Atrial Appendage Closure (Watchman)</w:t>
      </w:r>
    </w:p>
    <w:p w:rsidR="00915CAA" w:rsidRDefault="00B2206C">
      <w:pPr>
        <w:spacing w:before="60" w:after="60"/>
        <w:ind w:left="360"/>
      </w:pPr>
      <w:r>
        <w:t>Adult Congenital Heart Interventions</w:t>
      </w:r>
    </w:p>
    <w:p w:rsidR="00915CAA" w:rsidRDefault="00000000">
      <w:pPr>
        <w:spacing w:before="60" w:after="60"/>
        <w:ind w:left="360"/>
      </w:pPr>
      <w:r>
        <w:t xml:space="preserve">Patent Foramen </w:t>
      </w:r>
      <w:proofErr w:type="spellStart"/>
      <w:r>
        <w:t>Ovale</w:t>
      </w:r>
      <w:proofErr w:type="spellEnd"/>
      <w:r>
        <w:t xml:space="preserve"> (PFO) and Atrial Septal Defect (ASD) Closure</w:t>
      </w:r>
    </w:p>
    <w:p w:rsidR="00915CAA" w:rsidRDefault="00000000">
      <w:pPr>
        <w:spacing w:before="200" w:after="80"/>
      </w:pPr>
      <w:r>
        <w:rPr>
          <w:b/>
          <w:bCs/>
        </w:rPr>
        <w:t>Coronary Interventions</w:t>
      </w:r>
    </w:p>
    <w:p w:rsidR="00915CAA" w:rsidRDefault="00000000">
      <w:pPr>
        <w:spacing w:before="60" w:after="60"/>
      </w:pPr>
      <w:r>
        <w:t>Over 1,000 complex percutaneous coronary interventions (PCI) performed, including chronic total occlusion (CTO) procedures and high-risk PCI with mechanical circulatory support</w:t>
      </w:r>
    </w:p>
    <w:p w:rsidR="00915CAA" w:rsidRDefault="00000000">
      <w:pPr>
        <w:pBdr>
          <w:bottom w:val="single" w:sz="6" w:space="0" w:color="1A3A5C"/>
        </w:pBdr>
        <w:spacing w:before="300" w:after="120"/>
      </w:pPr>
      <w:r>
        <w:rPr>
          <w:b/>
          <w:bCs/>
          <w:color w:val="1A3A5C"/>
          <w:sz w:val="24"/>
          <w:szCs w:val="24"/>
        </w:rPr>
        <w:t>CURRENT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2023 - Present</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Associate Professor of Medicine</w:t>
            </w:r>
          </w:p>
        </w:tc>
      </w:tr>
    </w:tbl>
    <w:p w:rsidR="00915CAA" w:rsidRDefault="00000000">
      <w:pPr>
        <w:spacing w:before="60" w:after="60"/>
        <w:ind w:left="360"/>
      </w:pPr>
      <w:r>
        <w:t>University of Virginia Health, Charlottesville, VA</w:t>
      </w:r>
    </w:p>
    <w:p w:rsidR="00915CAA" w:rsidRDefault="00000000">
      <w:pPr>
        <w:spacing w:before="60" w:after="60"/>
        <w:ind w:left="360"/>
      </w:pPr>
      <w:r>
        <w:t>Director, Advanced Cardiac Valve Center</w:t>
      </w:r>
    </w:p>
    <w:p w:rsidR="00915CAA" w:rsidRDefault="00000000">
      <w:pPr>
        <w:spacing w:before="60" w:after="60"/>
        <w:ind w:left="360"/>
      </w:pPr>
      <w:r>
        <w:t>Director, Structural Cardiology and Advanced Valve Fellowship</w:t>
      </w:r>
    </w:p>
    <w:p w:rsidR="00915CAA" w:rsidRDefault="00000000">
      <w:pPr>
        <w:pBdr>
          <w:bottom w:val="single" w:sz="6" w:space="0" w:color="1A3A5C"/>
        </w:pBdr>
        <w:spacing w:before="300" w:after="120"/>
      </w:pPr>
      <w:r>
        <w:rPr>
          <w:b/>
          <w:bCs/>
          <w:color w:val="1A3A5C"/>
          <w:sz w:val="24"/>
          <w:szCs w:val="24"/>
        </w:rPr>
        <w:lastRenderedPageBreak/>
        <w:t>PRIOR ACADEMIC &amp; LEADERSHIP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2022 - 2023</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Program Director, Interventional Cardiology Fellowship</w:t>
            </w:r>
          </w:p>
        </w:tc>
      </w:tr>
    </w:tbl>
    <w:p w:rsidR="00915CAA" w:rsidRDefault="00000000" w:rsidP="009B03AE">
      <w:pPr>
        <w:spacing w:before="60" w:after="60"/>
        <w:ind w:left="2700"/>
      </w:pPr>
      <w:r>
        <w:t>Saint Luke's Mid America Heart Institute / UMKC, Kansas City, 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2021 - 2023</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Associate Professor of Medicine, UMKC</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2020 - 2023</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Associate Medical Director, Adult Congenital Heart Disease Program</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2018 - 2022</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Associate Program Director, Structural Cardiology Fellowship</w:t>
            </w:r>
          </w:p>
        </w:tc>
      </w:tr>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2017 - 2023</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Structural and Interventional Cardiologist, Saint Luke's MAHI</w:t>
            </w:r>
          </w:p>
        </w:tc>
      </w:tr>
    </w:tbl>
    <w:p w:rsidR="00915CAA" w:rsidRDefault="00000000">
      <w:pPr>
        <w:pBdr>
          <w:bottom w:val="single" w:sz="6" w:space="0" w:color="1A3A5C"/>
        </w:pBdr>
        <w:spacing w:before="300" w:after="120"/>
      </w:pPr>
      <w:r>
        <w:rPr>
          <w:b/>
          <w:bCs/>
          <w:color w:val="1A3A5C"/>
          <w:sz w:val="24"/>
          <w:szCs w:val="24"/>
        </w:rPr>
        <w:t>EDUCATION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2016 - 2017</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Advanced Fellowship, Structural Interventional Cardiology</w:t>
            </w:r>
          </w:p>
        </w:tc>
      </w:tr>
    </w:tbl>
    <w:p w:rsidR="00915CAA" w:rsidRDefault="00000000" w:rsidP="009B03AE">
      <w:pPr>
        <w:spacing w:before="60" w:after="60"/>
        <w:ind w:left="2790" w:hanging="90"/>
      </w:pPr>
      <w:r>
        <w:t>Saint Luke's Mid America Heart Institute / UMKC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2015 - 2016</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Advanced Fellowship, Interventional Cardiology</w:t>
            </w:r>
          </w:p>
        </w:tc>
      </w:tr>
    </w:tbl>
    <w:p w:rsidR="00915CAA" w:rsidRDefault="00000000" w:rsidP="009B03AE">
      <w:pPr>
        <w:spacing w:before="60" w:after="60"/>
        <w:ind w:left="360" w:firstLine="2340"/>
      </w:pPr>
      <w:r>
        <w:t>Saint Luke's Mid America Heart Institute / UMKC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2012 - 2015</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Fellowship, Cardiovascular Disease (Chief Fellow 2014-2015)</w:t>
            </w:r>
          </w:p>
        </w:tc>
      </w:tr>
    </w:tbl>
    <w:p w:rsidR="00915CAA" w:rsidRDefault="00000000" w:rsidP="009B03AE">
      <w:pPr>
        <w:spacing w:before="60" w:after="60"/>
        <w:ind w:left="360" w:firstLine="2340"/>
      </w:pPr>
      <w:r>
        <w:t>University of Mississippi Medical Center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2008 - 2012</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Residency and Chief Residency, Internal Medicine</w:t>
            </w:r>
          </w:p>
        </w:tc>
      </w:tr>
    </w:tbl>
    <w:p w:rsidR="00915CAA" w:rsidRDefault="00000000" w:rsidP="009B03AE">
      <w:pPr>
        <w:spacing w:before="60" w:after="60"/>
        <w:ind w:left="360" w:firstLine="2340"/>
      </w:pPr>
      <w:r>
        <w:t>University of Mississippi Medical Center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2"/>
        <w:gridCol w:w="7388"/>
      </w:tblGrid>
      <w:tr w:rsidR="00915CAA">
        <w:tblPrEx>
          <w:tblCellMar>
            <w:top w:w="0" w:type="dxa"/>
            <w:bottom w:w="0" w:type="dxa"/>
          </w:tblCellMar>
        </w:tblPrEx>
        <w:tc>
          <w:tcPr>
            <w:tcW w:w="2500" w:type="dxa"/>
            <w:tcBorders>
              <w:top w:val="none" w:sz="0" w:space="0" w:color="FFFFFF"/>
              <w:left w:val="none" w:sz="0" w:space="0" w:color="FFFFFF"/>
              <w:bottom w:val="none" w:sz="0" w:space="0" w:color="FFFFFF"/>
              <w:right w:val="none" w:sz="0" w:space="0" w:color="FFFFFF"/>
            </w:tcBorders>
          </w:tcPr>
          <w:p w:rsidR="00915CAA" w:rsidRDefault="00000000">
            <w:r>
              <w:rPr>
                <w:color w:val="555555"/>
              </w:rPr>
              <w:t>2004 - 2008</w:t>
            </w:r>
          </w:p>
        </w:tc>
        <w:tc>
          <w:tcPr>
            <w:tcW w:w="6860" w:type="dxa"/>
            <w:tcBorders>
              <w:top w:val="none" w:sz="0" w:space="0" w:color="FFFFFF"/>
              <w:left w:val="none" w:sz="0" w:space="0" w:color="FFFFFF"/>
              <w:bottom w:val="none" w:sz="0" w:space="0" w:color="FFFFFF"/>
              <w:right w:val="none" w:sz="0" w:space="0" w:color="FFFFFF"/>
            </w:tcBorders>
          </w:tcPr>
          <w:p w:rsidR="00915CAA" w:rsidRDefault="00000000">
            <w:r>
              <w:t>Doctor of Medicine</w:t>
            </w:r>
          </w:p>
        </w:tc>
      </w:tr>
    </w:tbl>
    <w:p w:rsidR="00915CAA" w:rsidRDefault="00000000" w:rsidP="009B03AE">
      <w:pPr>
        <w:spacing w:before="60" w:after="60"/>
        <w:ind w:left="360" w:firstLine="2340"/>
      </w:pPr>
      <w:r>
        <w:t>University of Mississippi School of Medicine</w:t>
      </w:r>
    </w:p>
    <w:p w:rsidR="00915CAA" w:rsidRDefault="00000000">
      <w:pPr>
        <w:pBdr>
          <w:bottom w:val="single" w:sz="6" w:space="0" w:color="1A3A5C"/>
        </w:pBdr>
        <w:spacing w:before="300" w:after="120"/>
      </w:pPr>
      <w:r>
        <w:rPr>
          <w:b/>
          <w:bCs/>
          <w:color w:val="1A3A5C"/>
          <w:sz w:val="24"/>
          <w:szCs w:val="24"/>
        </w:rPr>
        <w:t>AREAS OF EXPERTISE FOR CASE REVIEW</w:t>
      </w:r>
    </w:p>
    <w:p w:rsidR="00915CAA" w:rsidRDefault="00000000">
      <w:pPr>
        <w:spacing w:before="60" w:after="60"/>
        <w:ind w:left="360"/>
      </w:pPr>
      <w:r>
        <w:t>Standard of care in interventional and structural cardiology</w:t>
      </w:r>
    </w:p>
    <w:p w:rsidR="00915CAA" w:rsidRDefault="00000000">
      <w:pPr>
        <w:spacing w:before="60" w:after="60"/>
        <w:ind w:left="360"/>
      </w:pPr>
      <w:r>
        <w:t>Procedural decision-making and patient selection for transcatheter therapies</w:t>
      </w:r>
    </w:p>
    <w:p w:rsidR="00915CAA" w:rsidRDefault="00000000">
      <w:pPr>
        <w:spacing w:before="60" w:after="60"/>
        <w:ind w:left="360"/>
      </w:pPr>
      <w:r>
        <w:t>Catheterization laboratory complications and their management</w:t>
      </w:r>
    </w:p>
    <w:p w:rsidR="00915CAA" w:rsidRDefault="00000000">
      <w:pPr>
        <w:spacing w:before="60" w:after="60"/>
        <w:ind w:left="360"/>
      </w:pPr>
      <w:r>
        <w:t>Periprocedural anticoagulation and antiplatelet therapy</w:t>
      </w:r>
    </w:p>
    <w:p w:rsidR="00915CAA" w:rsidRDefault="00000000">
      <w:pPr>
        <w:spacing w:before="60" w:after="60"/>
        <w:ind w:left="360"/>
      </w:pPr>
      <w:r>
        <w:t xml:space="preserve">Vascular access complications (femoral, radial, </w:t>
      </w:r>
      <w:proofErr w:type="spellStart"/>
      <w:r>
        <w:t>transcarotid</w:t>
      </w:r>
      <w:proofErr w:type="spellEnd"/>
      <w:r>
        <w:t>, transapical)</w:t>
      </w:r>
    </w:p>
    <w:p w:rsidR="00915CAA" w:rsidRDefault="00000000">
      <w:pPr>
        <w:spacing w:before="60" w:after="60"/>
        <w:ind w:left="360"/>
      </w:pPr>
      <w:r>
        <w:t>Device malfunction and procedural technique evaluation</w:t>
      </w:r>
    </w:p>
    <w:p w:rsidR="00915CAA" w:rsidRDefault="00000000">
      <w:pPr>
        <w:spacing w:before="60" w:after="60"/>
        <w:ind w:left="360"/>
      </w:pPr>
      <w:r>
        <w:t>Post-procedural care and surveillance</w:t>
      </w:r>
    </w:p>
    <w:p w:rsidR="00915CAA" w:rsidRDefault="00000000">
      <w:pPr>
        <w:spacing w:before="60" w:after="60"/>
        <w:ind w:left="360"/>
      </w:pPr>
      <w:r>
        <w:t>Appropriate use criteria for coronary and structural interventions</w:t>
      </w:r>
    </w:p>
    <w:p w:rsidR="00915CAA" w:rsidRDefault="00000000">
      <w:pPr>
        <w:spacing w:before="60" w:after="60"/>
        <w:ind w:left="360"/>
      </w:pPr>
      <w:r>
        <w:t>General cardiology management and heart failure</w:t>
      </w:r>
    </w:p>
    <w:p w:rsidR="00915CAA" w:rsidRDefault="00000000">
      <w:pPr>
        <w:pBdr>
          <w:bottom w:val="single" w:sz="6" w:space="0" w:color="1A3A5C"/>
        </w:pBdr>
        <w:spacing w:before="300" w:after="120"/>
      </w:pPr>
      <w:r>
        <w:rPr>
          <w:b/>
          <w:bCs/>
          <w:color w:val="1A3A5C"/>
          <w:sz w:val="24"/>
          <w:szCs w:val="24"/>
        </w:rPr>
        <w:t>SELECTED PEER-REVIEWED PUBLICATIONS</w:t>
      </w:r>
    </w:p>
    <w:p w:rsidR="00915CAA" w:rsidRDefault="00000000">
      <w:pPr>
        <w:spacing w:before="100" w:after="60"/>
      </w:pPr>
      <w:r>
        <w:t xml:space="preserve">Author of over </w:t>
      </w:r>
      <w:r w:rsidR="000A0A13">
        <w:t>50</w:t>
      </w:r>
      <w:r>
        <w:t xml:space="preserve"> peer-reviewed publications in leading cardiovascular journals including JACC, JACC: Cardiovascular Interventions, Circulation: Cardiovascular Interventions, and Annals of Thoracic Surgery. Associate Editor, JACC: Case Reports. Selected publications relevant to expert review:</w:t>
      </w:r>
    </w:p>
    <w:p w:rsidR="000A0A13" w:rsidRDefault="000A0A13">
      <w:pPr>
        <w:spacing w:before="120" w:after="60"/>
        <w:ind w:left="360"/>
      </w:pPr>
      <w:r>
        <w:t xml:space="preserve">Saxon JT et al. Transcatheter Tricuspid Replacement with EVOQUE after T-TEER.  JACC Interventions 2025.  </w:t>
      </w:r>
    </w:p>
    <w:p w:rsidR="00915CAA" w:rsidRDefault="00000000">
      <w:pPr>
        <w:spacing w:before="120" w:after="60"/>
        <w:ind w:left="360"/>
      </w:pPr>
      <w:r>
        <w:t>Saxon JT et al. Complications of Bioprosthetic Valve Fracture as an Adjunct to Valve-in-Valve TAVR. Structural Heart. 2019.</w:t>
      </w:r>
    </w:p>
    <w:p w:rsidR="00915CAA" w:rsidRDefault="00000000">
      <w:pPr>
        <w:spacing w:before="60" w:after="60"/>
        <w:ind w:left="360"/>
      </w:pPr>
      <w:r>
        <w:t xml:space="preserve">Saxon JT et al. Impact of COPD on Outcomes after </w:t>
      </w:r>
      <w:proofErr w:type="spellStart"/>
      <w:r>
        <w:t>MitraClip</w:t>
      </w:r>
      <w:proofErr w:type="spellEnd"/>
      <w:r>
        <w:t xml:space="preserve"> for Secondary MR: The COAPT Trial. JACC Cardiovasc </w:t>
      </w:r>
      <w:proofErr w:type="spellStart"/>
      <w:r>
        <w:t>Interv</w:t>
      </w:r>
      <w:proofErr w:type="spellEnd"/>
      <w:r>
        <w:t>. 2020.</w:t>
      </w:r>
    </w:p>
    <w:p w:rsidR="00915CAA" w:rsidRDefault="00000000">
      <w:pPr>
        <w:spacing w:before="60" w:after="60"/>
        <w:ind w:left="360"/>
      </w:pPr>
      <w:r>
        <w:t>Saxon JT et al. Patient-reported versus Physician-estimated Angina in Patients Undergoing PCI. JAMA Network Open. 2020.</w:t>
      </w:r>
    </w:p>
    <w:p w:rsidR="00915CAA" w:rsidRDefault="00000000">
      <w:pPr>
        <w:spacing w:before="60" w:after="60"/>
        <w:ind w:left="360"/>
      </w:pPr>
      <w:r>
        <w:lastRenderedPageBreak/>
        <w:t xml:space="preserve">Saxon JT et al. Appropriate Use Criteria and Health Status Outcomes in CTO PCI. Circ Cardiovasc </w:t>
      </w:r>
      <w:proofErr w:type="spellStart"/>
      <w:r>
        <w:t>Interv</w:t>
      </w:r>
      <w:proofErr w:type="spellEnd"/>
      <w:r>
        <w:t>. 2020.</w:t>
      </w:r>
    </w:p>
    <w:p w:rsidR="00915CAA" w:rsidRDefault="00000000">
      <w:pPr>
        <w:spacing w:before="60" w:after="60"/>
        <w:ind w:left="360"/>
      </w:pPr>
      <w:proofErr w:type="spellStart"/>
      <w:r>
        <w:t>Chhatriwalla</w:t>
      </w:r>
      <w:proofErr w:type="spellEnd"/>
      <w:r>
        <w:t xml:space="preserve"> AK, Saxon JT et al. Operator Experience and Procedural Results of Transcatheter Mitral Valve Repair. JACC. 2019.</w:t>
      </w:r>
    </w:p>
    <w:p w:rsidR="00915CAA" w:rsidRDefault="00000000">
      <w:pPr>
        <w:pBdr>
          <w:bottom w:val="single" w:sz="6" w:space="0" w:color="1A3A5C"/>
        </w:pBdr>
        <w:spacing w:before="300" w:after="120"/>
      </w:pPr>
      <w:r>
        <w:rPr>
          <w:b/>
          <w:bCs/>
          <w:color w:val="1A3A5C"/>
          <w:sz w:val="24"/>
          <w:szCs w:val="24"/>
        </w:rPr>
        <w:t>CLINICAL TRIAL LEADERSHIP</w:t>
      </w:r>
    </w:p>
    <w:p w:rsidR="00915CAA" w:rsidRDefault="00000000">
      <w:pPr>
        <w:spacing w:before="100" w:after="60"/>
      </w:pPr>
      <w:r>
        <w:t xml:space="preserve">Principal Investigator on </w:t>
      </w:r>
      <w:r w:rsidR="000A0A13">
        <w:t>over 20</w:t>
      </w:r>
      <w:r>
        <w:t xml:space="preserve"> FDA-regulated clinical trials for transcatheter heart valve therapies, including ATLAS (4C Medical), ENVISION </w:t>
      </w:r>
      <w:proofErr w:type="spellStart"/>
      <w:r>
        <w:t>Navitor</w:t>
      </w:r>
      <w:proofErr w:type="spellEnd"/>
      <w:r>
        <w:t xml:space="preserve"> (Abbott), CLASP IID/IIF (Edwards), TRILUMINATE (Abbott), and APOLLO TMVR (Medtronic). Experience with clinical trial protocols, adverse event reporting, and regulatory standards.</w:t>
      </w:r>
    </w:p>
    <w:p w:rsidR="00915CAA" w:rsidRDefault="00000000">
      <w:pPr>
        <w:pBdr>
          <w:bottom w:val="single" w:sz="6" w:space="0" w:color="1A3A5C"/>
        </w:pBdr>
        <w:spacing w:before="300" w:after="120"/>
      </w:pPr>
      <w:r>
        <w:rPr>
          <w:b/>
          <w:bCs/>
          <w:color w:val="1A3A5C"/>
          <w:sz w:val="24"/>
          <w:szCs w:val="24"/>
        </w:rPr>
        <w:t>TEACHING EXPERIENCE</w:t>
      </w:r>
    </w:p>
    <w:p w:rsidR="00915CAA" w:rsidRDefault="00000000">
      <w:pPr>
        <w:spacing w:before="100" w:after="60"/>
      </w:pPr>
      <w:r>
        <w:t>Recipient of multiple Teacher of the Year Awards (Structural Cardiology Fellowship and Interventional Cardiology Fellowship). Experience training physicians in procedural techniques, complication management, and standard practices. Member of ABIM Item-Writing Task Force for Cardiovascular Disease Subspecialty Board.</w:t>
      </w:r>
    </w:p>
    <w:p w:rsidR="00915CAA" w:rsidRDefault="00000000">
      <w:pPr>
        <w:pBdr>
          <w:bottom w:val="single" w:sz="6" w:space="0" w:color="1A3A5C"/>
        </w:pBdr>
        <w:spacing w:before="300" w:after="120"/>
      </w:pPr>
      <w:r>
        <w:rPr>
          <w:b/>
          <w:bCs/>
          <w:color w:val="1A3A5C"/>
          <w:sz w:val="24"/>
          <w:szCs w:val="24"/>
        </w:rPr>
        <w:t>PROFESSIONAL SOCIETY MEMBERSHIPS</w:t>
      </w:r>
    </w:p>
    <w:p w:rsidR="00915CAA" w:rsidRDefault="00000000">
      <w:pPr>
        <w:spacing w:before="60" w:after="60"/>
        <w:ind w:left="360"/>
      </w:pPr>
      <w:r>
        <w:t>Fellow, Society for Cardiovascular Angiography and Interventions (FSCAI)</w:t>
      </w:r>
    </w:p>
    <w:p w:rsidR="00915CAA" w:rsidRDefault="00000000">
      <w:pPr>
        <w:spacing w:before="60" w:after="60"/>
        <w:ind w:left="360"/>
      </w:pPr>
      <w:r>
        <w:t>Fellow, American College of Cardiology (FACC)</w:t>
      </w:r>
    </w:p>
    <w:p w:rsidR="00915CAA" w:rsidRDefault="00000000">
      <w:pPr>
        <w:spacing w:before="60" w:after="60"/>
        <w:ind w:left="360"/>
      </w:pPr>
      <w:r>
        <w:t>Member, SCAI Structural Heart Disease Council</w:t>
      </w:r>
    </w:p>
    <w:p w:rsidR="00915CAA" w:rsidRDefault="00000000">
      <w:pPr>
        <w:spacing w:before="60" w:after="60"/>
        <w:ind w:left="360"/>
      </w:pPr>
      <w:r>
        <w:t>Member, Adult Congenital Heart Association</w:t>
      </w:r>
    </w:p>
    <w:p w:rsidR="00915CAA" w:rsidRDefault="00000000">
      <w:pPr>
        <w:pBdr>
          <w:bottom w:val="single" w:sz="6" w:space="0" w:color="1A3A5C"/>
        </w:pBdr>
        <w:spacing w:before="300" w:after="120"/>
      </w:pPr>
      <w:r>
        <w:rPr>
          <w:b/>
          <w:bCs/>
          <w:color w:val="1A3A5C"/>
          <w:sz w:val="24"/>
          <w:szCs w:val="24"/>
        </w:rPr>
        <w:t>AVAILABILITY &amp; RATES</w:t>
      </w:r>
    </w:p>
    <w:p w:rsidR="00915CAA" w:rsidRDefault="00000000">
      <w:pPr>
        <w:spacing w:before="100" w:after="60"/>
      </w:pPr>
      <w:r>
        <w:t>Available for case review, written reports, deposition, and trial testimony. Committed to efficient and timely reviews. Rates provided upon request.</w:t>
      </w:r>
    </w:p>
    <w:sectPr w:rsidR="00915CAA">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55614"/>
    <w:multiLevelType w:val="hybridMultilevel"/>
    <w:tmpl w:val="1E0C0EB2"/>
    <w:lvl w:ilvl="0" w:tplc="2D9298B6">
      <w:start w:val="1"/>
      <w:numFmt w:val="bullet"/>
      <w:lvlText w:val="●"/>
      <w:lvlJc w:val="left"/>
      <w:pPr>
        <w:ind w:left="720" w:hanging="360"/>
      </w:pPr>
    </w:lvl>
    <w:lvl w:ilvl="1" w:tplc="FCECA6BE">
      <w:start w:val="1"/>
      <w:numFmt w:val="bullet"/>
      <w:lvlText w:val="○"/>
      <w:lvlJc w:val="left"/>
      <w:pPr>
        <w:ind w:left="1440" w:hanging="360"/>
      </w:pPr>
    </w:lvl>
    <w:lvl w:ilvl="2" w:tplc="6D8E7470">
      <w:start w:val="1"/>
      <w:numFmt w:val="bullet"/>
      <w:lvlText w:val="■"/>
      <w:lvlJc w:val="left"/>
      <w:pPr>
        <w:ind w:left="2160" w:hanging="360"/>
      </w:pPr>
    </w:lvl>
    <w:lvl w:ilvl="3" w:tplc="7F402722">
      <w:start w:val="1"/>
      <w:numFmt w:val="bullet"/>
      <w:lvlText w:val="●"/>
      <w:lvlJc w:val="left"/>
      <w:pPr>
        <w:ind w:left="2880" w:hanging="360"/>
      </w:pPr>
    </w:lvl>
    <w:lvl w:ilvl="4" w:tplc="9DF66836">
      <w:start w:val="1"/>
      <w:numFmt w:val="bullet"/>
      <w:lvlText w:val="○"/>
      <w:lvlJc w:val="left"/>
      <w:pPr>
        <w:ind w:left="3600" w:hanging="360"/>
      </w:pPr>
    </w:lvl>
    <w:lvl w:ilvl="5" w:tplc="7BF62EE2">
      <w:start w:val="1"/>
      <w:numFmt w:val="bullet"/>
      <w:lvlText w:val="■"/>
      <w:lvlJc w:val="left"/>
      <w:pPr>
        <w:ind w:left="4320" w:hanging="360"/>
      </w:pPr>
    </w:lvl>
    <w:lvl w:ilvl="6" w:tplc="095C8BE0">
      <w:start w:val="1"/>
      <w:numFmt w:val="bullet"/>
      <w:lvlText w:val="●"/>
      <w:lvlJc w:val="left"/>
      <w:pPr>
        <w:ind w:left="5040" w:hanging="360"/>
      </w:pPr>
    </w:lvl>
    <w:lvl w:ilvl="7" w:tplc="718EEAD8">
      <w:start w:val="1"/>
      <w:numFmt w:val="bullet"/>
      <w:lvlText w:val="●"/>
      <w:lvlJc w:val="left"/>
      <w:pPr>
        <w:ind w:left="5760" w:hanging="360"/>
      </w:pPr>
    </w:lvl>
    <w:lvl w:ilvl="8" w:tplc="0E5E74DC">
      <w:start w:val="1"/>
      <w:numFmt w:val="bullet"/>
      <w:lvlText w:val="●"/>
      <w:lvlJc w:val="left"/>
      <w:pPr>
        <w:ind w:left="6480" w:hanging="360"/>
      </w:pPr>
    </w:lvl>
  </w:abstractNum>
  <w:num w:numId="1" w16cid:durableId="749935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AA"/>
    <w:rsid w:val="00025AC3"/>
    <w:rsid w:val="000A0A13"/>
    <w:rsid w:val="00403197"/>
    <w:rsid w:val="00507E79"/>
    <w:rsid w:val="00915CAA"/>
    <w:rsid w:val="009B03AE"/>
    <w:rsid w:val="00B2206C"/>
    <w:rsid w:val="00FA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49F72"/>
  <w15:docId w15:val="{041D0112-6557-3340-B974-82BB9E6D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Saxon</cp:lastModifiedBy>
  <cp:revision>3</cp:revision>
  <dcterms:created xsi:type="dcterms:W3CDTF">2026-01-19T00:43:00Z</dcterms:created>
  <dcterms:modified xsi:type="dcterms:W3CDTF">2026-01-19T00:44:00Z</dcterms:modified>
</cp:coreProperties>
</file>