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6saa40etb3kx" w:id="0"/>
    <w:bookmarkEnd w:id="0"/>
    <w:p w:rsidR="00000000" w:rsidDel="00000000" w:rsidP="00000000" w:rsidRDefault="00000000" w:rsidRPr="00000000" w14:paraId="00000001">
      <w:pPr>
        <w:pStyle w:val="Heading1"/>
        <w:rPr/>
      </w:pPr>
      <w:r w:rsidDel="00000000" w:rsidR="00000000" w:rsidRPr="00000000">
        <w:rPr>
          <w:rtl w:val="0"/>
        </w:rPr>
        <w:t xml:space="preserve">Kurtis D. Bertram, DPM, FACFAS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Foot and Ankle Surgeon</w:t>
        <w:br w:type="textWrapping"/>
      </w:r>
      <w:r w:rsidDel="00000000" w:rsidR="00000000" w:rsidRPr="00000000">
        <w:rPr>
          <w:rtl w:val="0"/>
        </w:rPr>
        <w:t xml:space="preserve">MedStar Georgetown University Hospital</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w:t>
      </w:r>
      <w:r w:rsidDel="00000000" w:rsidR="00000000" w:rsidRPr="00000000">
        <w:rPr>
          <w:rtl w:val="0"/>
        </w:rPr>
        <w:t xml:space="preserve">MedStar Montgomery Medical Center</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w:t>
        <w:br w:type="textWrapping"/>
        <w:t xml:space="preserve">Email: kurtis.bertram@medstar.net • Phone: 631-645-8110 • Washington, DC</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16vncdsurbwk" w:id="1"/>
    <w:bookmarkEnd w:id="1"/>
    <w:p w:rsidR="00000000" w:rsidDel="00000000" w:rsidP="00000000" w:rsidRDefault="00000000" w:rsidRPr="00000000" w14:paraId="00000004">
      <w:pPr>
        <w:pStyle w:val="Heading2"/>
        <w:rPr/>
      </w:pPr>
      <w:r w:rsidDel="00000000" w:rsidR="00000000" w:rsidRPr="00000000">
        <w:rPr>
          <w:rtl w:val="0"/>
        </w:rPr>
        <w:t xml:space="preserve">Professional Summary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Experienced foot and ankle surgeon with expertise in all aspects of foot and ankle surgery, including trauma, reconstruction, and diabetic limb salvage.</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sygejpe5fnu7" w:id="2"/>
    <w:bookmarkEnd w:id="2"/>
    <w:p w:rsidR="00000000" w:rsidDel="00000000" w:rsidP="00000000" w:rsidRDefault="00000000" w:rsidRPr="00000000" w14:paraId="00000007">
      <w:pPr>
        <w:pStyle w:val="Heading2"/>
        <w:rPr/>
      </w:pPr>
      <w:r w:rsidDel="00000000" w:rsidR="00000000" w:rsidRPr="00000000">
        <w:rPr>
          <w:rtl w:val="0"/>
        </w:rPr>
        <w:t xml:space="preserve">Areas of Expertise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Foot and ankle trauma (fractures, dislocations, athletic injuries)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Reconstructive surgery (hindfoot, midfoot, forefoot)</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Diabetic limb salvage &amp; wound care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Ankle and foot arthroscopy</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Post-operative complications &amp; standards of care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Biomechanics, gait, and functional impairment</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Workers’ compensation &amp; personal injury</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Radiographic interpretation (weight-bearing &amp; advanced imaging)</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Causation &amp; impairment assessment</w:t>
      </w:r>
    </w:p>
    <w:bookmarkStart w:colFirst="0" w:colLast="0" w:name="bookmark=id.d5hg324bw2t0" w:id="3"/>
    <w:bookmarkEnd w:id="3"/>
    <w:p w:rsidR="00000000" w:rsidDel="00000000" w:rsidP="00000000" w:rsidRDefault="00000000" w:rsidRPr="00000000" w14:paraId="00000011">
      <w:pPr>
        <w:pStyle w:val="Heading2"/>
        <w:rPr/>
      </w:pPr>
      <w:r w:rsidDel="00000000" w:rsidR="00000000" w:rsidRPr="00000000">
        <w:rPr>
          <w:rtl w:val="0"/>
        </w:rPr>
        <w:t xml:space="preserve">Education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Fellowship – Foot &amp; Ankle Trauma and Reconstruction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br w:type="textWrapping"/>
        <w:t xml:space="preserve">Kaiser Permanente – Atlanta, GA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Residency – Foot &amp; Ankle Surgery (Comprehensive, 3-year)</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br w:type="textWrapping"/>
        <w:t xml:space="preserve">MedStar Georgetown University Hospital – Washington, DC</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Doctor of Podiatric Medicine (DPM)</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br w:type="textWrapping"/>
        <w:t xml:space="preserve">New York College of Podiatric Medicine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Bachelor of Science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br w:type="textWrapping"/>
        <w:t xml:space="preserve">University of North Carolina Wilmington (UNCW)</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wt2qb4wxxdeu" w:id="4"/>
    <w:bookmarkEnd w:id="4"/>
    <w:p w:rsidR="00000000" w:rsidDel="00000000" w:rsidP="00000000" w:rsidRDefault="00000000" w:rsidRPr="00000000" w14:paraId="00000017">
      <w:pPr>
        <w:pStyle w:val="Heading2"/>
        <w:rPr/>
      </w:pPr>
      <w:r w:rsidDel="00000000" w:rsidR="00000000" w:rsidRPr="00000000">
        <w:rPr>
          <w:rtl w:val="0"/>
        </w:rPr>
        <w:t xml:space="preserve">Professional Appointments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Foot &amp; Ankle Surgeon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br w:type="textWrapping"/>
        <w:t xml:space="preserve">MedStar Montgomery Medical Center, Maryland</w:t>
        <w:br w:type="textWrapping"/>
        <w:t xml:space="preserve">MedStar Medical Group</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Teaching &amp; Academic Roles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br w:type="textWrapping"/>
        <w:t xml:space="preserve">- Surgical educator for Georgetown residency program</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Attending physician training residents at Georgetown University Hospital in foot and ankle surgery</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d6clr63le3j1" w:id="5"/>
    <w:bookmarkEnd w:id="5"/>
    <w:p w:rsidR="00000000" w:rsidDel="00000000" w:rsidP="00000000" w:rsidRDefault="00000000" w:rsidRPr="00000000" w14:paraId="0000001C">
      <w:pPr>
        <w:pStyle w:val="Heading2"/>
        <w:rPr/>
      </w:pPr>
      <w:r w:rsidDel="00000000" w:rsidR="00000000" w:rsidRPr="00000000">
        <w:rPr>
          <w:rtl w:val="0"/>
        </w:rPr>
        <w:t xml:space="preserve">Certifications &amp; Licensure</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Board Certified, American Board of Foot and Ankle Surgery (ABFAS)</w:t>
      </w:r>
    </w:p>
    <w:p w:rsidR="00000000" w:rsidDel="00000000" w:rsidP="00000000" w:rsidRDefault="00000000" w:rsidRPr="00000000" w14:paraId="0000001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Foot Surgery</w:t>
      </w:r>
    </w:p>
    <w:p w:rsidR="00000000" w:rsidDel="00000000" w:rsidP="00000000" w:rsidRDefault="00000000" w:rsidRPr="00000000" w14:paraId="0000001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Reconstructive Rearfoot &amp; Ankle Surgery</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Maryland &amp; Washington, DC Medical Licensure</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DEA Licensed</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swtjachkqjmp" w:id="6"/>
    <w:bookmarkEnd w:id="6"/>
    <w:p w:rsidR="00000000" w:rsidDel="00000000" w:rsidP="00000000" w:rsidRDefault="00000000" w:rsidRPr="00000000" w14:paraId="00000023">
      <w:pPr>
        <w:pStyle w:val="Heading2"/>
        <w:rPr/>
      </w:pPr>
      <w:r w:rsidDel="00000000" w:rsidR="00000000" w:rsidRPr="00000000">
        <w:rPr>
          <w:rtl w:val="0"/>
        </w:rPr>
        <w:t xml:space="preserve">Medical-Legal Services Offered</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Expert case review (plaintiff &amp; defense)</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Standard‑of‑care evaluation</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Surgical complication assessment</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Causation analysis</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Narrative medical reports</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Depositions and testimony</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Workers’ compensation evaluations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IMEs (Independent Medical Examinations)</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3uk831y4a848" w:id="7"/>
    <w:bookmarkEnd w:id="7"/>
    <w:p w:rsidR="00000000" w:rsidDel="00000000" w:rsidP="00000000" w:rsidRDefault="00000000" w:rsidRPr="00000000" w14:paraId="0000002D">
      <w:pPr>
        <w:pStyle w:val="Heading2"/>
        <w:rPr/>
      </w:pPr>
      <w:r w:rsidDel="00000000" w:rsidR="00000000" w:rsidRPr="00000000">
        <w:rPr>
          <w:rtl w:val="0"/>
        </w:rPr>
        <w:t xml:space="preserve">Clinical &amp; Surgical Experience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High-volume surgical practice including trauma, reconstruction, arthroscopy, sports injuries, and limb salvage.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Extensive experience with trauma, reconstruction, diabetic infections, and amputation.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Regular interpreter of radiographs, advanced imaging, culture data, laboratory results, and related diagnostics.</w:t>
      </w:r>
    </w:p>
    <w:bookmarkStart w:colFirst="0" w:colLast="0" w:name="bookmark=id.9no3ooasq958" w:id="8"/>
    <w:bookmarkEnd w:id="8"/>
    <w:p w:rsidR="00000000" w:rsidDel="00000000" w:rsidP="00000000" w:rsidRDefault="00000000" w:rsidRPr="00000000" w14:paraId="00000031">
      <w:pPr>
        <w:pStyle w:val="Heading2"/>
        <w:rPr/>
      </w:pPr>
      <w:r w:rsidDel="00000000" w:rsidR="00000000" w:rsidRPr="00000000">
        <w:rPr>
          <w:rtl w:val="0"/>
        </w:rPr>
        <w:t xml:space="preserve">Publications &amp; Academic Contributions</w:t>
      </w:r>
    </w:p>
    <w:bookmarkStart w:colFirst="0" w:colLast="0" w:name="bookmark=id.yvm3kzggt9yh" w:id="9"/>
    <w:bookmarkEnd w:id="9"/>
    <w:p w:rsidR="00000000" w:rsidDel="00000000" w:rsidP="00000000" w:rsidRDefault="00000000" w:rsidRPr="00000000" w14:paraId="00000032">
      <w:pPr>
        <w:pStyle w:val="Heading3"/>
        <w:rPr/>
      </w:pPr>
      <w:r w:rsidDel="00000000" w:rsidR="00000000" w:rsidRPr="00000000">
        <w:rPr>
          <w:rtl w:val="0"/>
        </w:rPr>
        <w:t xml:space="preserve">Books or Chapters in Books</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Zarick C, Bertram K, Milisits T.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Functional Limb Salvage: The Multidisciplinary Team Approach.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The Science and Utility of Offloading the Diabetic Foot, pp. 73–86.</w:t>
      </w:r>
    </w:p>
    <w:bookmarkStart w:colFirst="0" w:colLast="0" w:name="bookmark=id.nfoq5zi69efw" w:id="10"/>
    <w:bookmarkEnd w:id="10"/>
    <w:p w:rsidR="00000000" w:rsidDel="00000000" w:rsidP="00000000" w:rsidRDefault="00000000" w:rsidRPr="00000000" w14:paraId="00000034">
      <w:pPr>
        <w:pStyle w:val="Heading3"/>
        <w:rPr/>
      </w:pPr>
      <w:r w:rsidDel="00000000" w:rsidR="00000000" w:rsidRPr="00000000">
        <w:rPr>
          <w:rtl w:val="0"/>
        </w:rPr>
        <w:t xml:space="preserve">Other Publications</w:t>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Mann J, Ligas C, Carney J, Bertram K, Milisits T. “Is the Lateral Release Necessary in Hallux Abducto Valgus Surgery?”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Podiatry Today.</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September 2022.</w:t>
      </w:r>
    </w:p>
    <w:bookmarkStart w:colFirst="0" w:colLast="0" w:name="bookmark=id.7e41gjza10un" w:id="11"/>
    <w:bookmarkEnd w:id="11"/>
    <w:p w:rsidR="00000000" w:rsidDel="00000000" w:rsidP="00000000" w:rsidRDefault="00000000" w:rsidRPr="00000000" w14:paraId="00000036">
      <w:pPr>
        <w:pStyle w:val="Heading3"/>
        <w:rPr/>
      </w:pPr>
      <w:r w:rsidDel="00000000" w:rsidR="00000000" w:rsidRPr="00000000">
        <w:rPr>
          <w:rtl w:val="0"/>
        </w:rPr>
        <w:t xml:space="preserve">Abstracts, Conference Papers, and Posters</w:t>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Bertram K, Randazzo J, Alabi N, Levension J, Doucette JT, Barbosa P. “Strong Correlations Between Empathy, Emotional Intelligence, and Personality Traits Among Podiatric Medical Students.” Poster presented at APMA Annual Scientific Conference, Orlando, FL, 2015.</w:t>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Srour J, Bertram K, Bradley A, Davis C, Martines J. “Surgical Correction of a Non-Classifiable Unique Pre-Axial Polydactyly Case.” Poster presented at ACFAS Annual Scientific Conference, Austin, TX, 2016.</w:t>
      </w:r>
    </w:p>
    <w:p w:rsidR="00000000" w:rsidDel="00000000" w:rsidP="00000000" w:rsidRDefault="00000000" w:rsidRPr="00000000" w14:paraId="000000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Pandya M, Bertram K, Elmarsafi T, Steinberg J. “Negative Pressure Wound Therapy versus Bolster Dressing Post-Split Thickness Skin Graft in Lower Extremity Wounds.” Poster presented at DLS Annual Conference, Washington, DC.</w:t>
      </w:r>
    </w:p>
    <w:p w:rsidR="00000000" w:rsidDel="00000000" w:rsidP="00000000" w:rsidRDefault="00000000" w:rsidRPr="00000000" w14:paraId="000000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Kennedy C, Ragothaman K, Mayer A, Bertram K, Attinger C, Carroll P, Steinberg J. “Comparative Analysis of the Drainage Ankle Disarticulation to Guillotine Transtibial Amputation in the Staged Approach to Below Knee Amputation.” Poster presented at ACFAS Annual Scientific Conference, Austin, TX, 2020.</w:t>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Kavanaugh M, Bertram K. “Functional Reconstruction of Volkmann’s Contractures After Compartment Syndrome of the Foot and Ankle.” Poster presented at ACFAS Annual Scientific Conference, Los Angeles, CA, 2023.</w:t>
      </w:r>
    </w:p>
    <w:bookmarkStart w:colFirst="0" w:colLast="0" w:name="bookmark=id.q2mq9noo8ee6" w:id="12"/>
    <w:bookmarkEnd w:id="12"/>
    <w:p w:rsidR="00000000" w:rsidDel="00000000" w:rsidP="00000000" w:rsidRDefault="00000000" w:rsidRPr="00000000" w14:paraId="0000003C">
      <w:pPr>
        <w:pStyle w:val="Heading2"/>
        <w:rPr/>
      </w:pPr>
      <w:r w:rsidDel="00000000" w:rsidR="00000000" w:rsidRPr="00000000">
        <w:rPr>
          <w:rtl w:val="0"/>
        </w:rPr>
        <w:t xml:space="preserve">Professional Memberships</w:t>
      </w:r>
    </w:p>
    <w:p w:rsidR="00000000" w:rsidDel="00000000" w:rsidP="00000000" w:rsidRDefault="00000000" w:rsidRPr="00000000" w14:paraId="000000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American College of Foot &amp; Ankle Surgeons (ACFAS)</w:t>
      </w:r>
    </w:p>
    <w:p w:rsidR="00000000" w:rsidDel="00000000" w:rsidP="00000000" w:rsidRDefault="00000000" w:rsidRPr="00000000" w14:paraId="000000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American Podiatric Medical Association (APMA)</w:t>
      </w:r>
      <w:r w:rsidDel="00000000" w:rsidR="00000000" w:rsidRPr="00000000">
        <w:rPr>
          <w:rtl w:val="0"/>
        </w:rPr>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cljwxpm4d88e" w:id="13"/>
    <w:bookmarkEnd w:id="13"/>
    <w:p w:rsidR="00000000" w:rsidDel="00000000" w:rsidP="00000000" w:rsidRDefault="00000000" w:rsidRPr="00000000" w14:paraId="00000040">
      <w:pPr>
        <w:pStyle w:val="Heading2"/>
        <w:rPr/>
      </w:pPr>
      <w:r w:rsidDel="00000000" w:rsidR="00000000" w:rsidRPr="00000000">
        <w:rPr>
          <w:rtl w:val="0"/>
        </w:rPr>
        <w:t xml:space="preserve">Contact Information for Legal Engagements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Email: kurtis.bertram@medstar.net</w:t>
        <w:br w:type="textWrapping"/>
        <w:t xml:space="preserve">Phone: 631-645-8110</w:t>
        <w:br w:type="textWrapping"/>
        <w:t xml:space="preserve">Location: Washington, DC</w:t>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jc w:val="center"/>
    </w:pPr>
    <w:rPr>
      <w:rFonts w:ascii="Play" w:cs="Play" w:eastAsia="Play" w:hAnsi="Play"/>
      <w:sz w:val="56"/>
      <w:szCs w:val="56"/>
    </w:rPr>
  </w:style>
  <w:style w:type="paragraph" w:styleId="BodyText">
    <w:name w:val="Body Text"/>
    <w:basedOn w:val="Normal"/>
    <w:link w:val="BodyTextChar"/>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next w:val="Bibliography"/>
    <w:qFormat w:val="1"/>
    <w:pPr/>
    <w:rPr/>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firstLine="0"/>
    </w:pPr>
  </w:style>
  <w:style w:type="paragraph" w:styleId="FootnoteText">
    <w:name w:val="Footnote Text"/>
    <w:basedOn w:val="Normal"/>
    <w:next w:val="FootnoteText"/>
    <w:uiPriority w:val="9"/>
    <w:unhideWhenUsed w:val="1"/>
    <w:qFormat w:val="1"/>
  </w:style>
  <w:style w:type="paragraph" w:styleId="FootnoteBlockText">
    <w:name w:val="Footnote Block Text"/>
    <w:basedOn w:val="FootnoteText"/>
    <w:next w:val="FootnoteText"/>
    <w:uiPriority w:val="9"/>
    <w:unhideWhenUsed w:val="1"/>
    <w:qFormat w:val="1"/>
    <w:pPr>
      <w:spacing w:after="100" w:before="100"/>
      <w:ind w:left="480" w:right="480" w:firstLine="0"/>
    </w:pPr>
  </w:style>
  <w:style w:type="character" w:styleId="DefaultParagraphFont" w:default="1">
    <w:name w:val="Default Paragraph Font"/>
    <w:semiHidden w:val="1"/>
    <w:unhideWhenUsed w:val="1"/>
  </w:style>
  <w:style w:type="table" w:styleId="Table" w:default="1">
    <w:name w:val="Table"/>
    <w:basedOn w:val="TableNormal"/>
    <w:semiHidden w:val="1"/>
    <w:unhideWhenUsed w:val="1"/>
    <w:qFormat w:val="1"/>
    <w:tblPr>
      <w:tblInd w:w="0.0" w:type="dxa"/>
      <w:tblCellMar>
        <w:top w:w="0.0" w:type="dxa"/>
        <w:left w:w="108.0" w:type="dxa"/>
        <w:bottom w:w="0.0" w:type="dxa"/>
        <w:right w:w="108.0" w:type="dxa"/>
      </w:tblCellMar>
    </w:tblPr>
    <w:tblStylePr w:type="firstRow">
      <w:tblPr>
        <w:jc w:val="left"/>
        <w:tblInd w:w="0.0" w:type="dxa"/>
      </w:tblPr>
      <w:trPr>
        <w:jc w:val="left"/>
      </w:trPr>
      <w:tcPr>
        <w:tcBorders>
          <w:bottom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BodyTextChar"/>
    <w:pPr>
      <w:spacing w:after="120" w:before="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BodyTextChar" w:customStyle="1">
    <w:name w:val="Body Text Char"/>
    <w:basedOn w:val="DefaultParagraphFont"/>
    <w:link w:val="BodyText"/>
  </w:style>
  <w:style w:type="character" w:styleId="VerbatimChar" w:customStyle="1">
    <w:name w:val="Verbatim Char"/>
    <w:basedOn w:val="BodyTextChar"/>
    <w:rPr>
      <w:rFonts w:ascii="Consolas" w:hAnsi="Consolas"/>
      <w:sz w:val="22"/>
    </w:rPr>
  </w:style>
  <w:style w:type="character" w:styleId="SectionNumber" w:customStyle="1">
    <w:name w:val="Section Number"/>
    <w:basedOn w:val="BodyTextCha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val="1"/>
    <w:qFormat w:val="1"/>
    <w:pPr>
      <w:spacing w:before="240" w:line="259" w:lineRule="auto"/>
      <w:outlineLvl w:val="9"/>
    </w:pPr>
    <w:rPr>
      <w:rFonts w:asciiTheme="majorHAnsi" w:cstheme="majorBidi" w:eastAsiaTheme="majorEastAsia" w:hAnsiTheme="majorHAnsi"/>
      <w:b w:val="0"/>
      <w:bCs w:val="0"/>
      <w:color w:val="365f91" w:themeColor="accent1" w:themeShade="0000BF"/>
    </w:rPr>
  </w:style>
  <w:style w:type="paragraph" w:styleId="SourceCode" w:customStyle="1">
    <w:name w:val="Source Code"/>
    <w:basedOn w:val="Normal"/>
    <w:link w:val="VerbatimChar"/>
    <w:pPr>
      <w:wordWrap w:val="0"/>
    </w:pPr>
  </w:style>
  <w:style w:type="character" w:styleId="KeywordTok" w:customStyle="1">
    <w:name w:val="KeywordTok"/>
    <w:basedOn w:val="VerbatimChar"/>
    <w:rPr>
      <w:b w:val="1"/>
      <w:color w:val="007020"/>
    </w:rPr>
  </w:style>
  <w:style w:type="character" w:styleId="DataTypeTok" w:customStyle="1">
    <w:name w:val="DataTypeTok"/>
    <w:basedOn w:val="VerbatimChar"/>
    <w:rPr>
      <w:color w:val="902000"/>
    </w:rPr>
  </w:style>
  <w:style w:type="character" w:styleId="DecValTok" w:customStyle="1">
    <w:name w:val="DecValTok"/>
    <w:basedOn w:val="VerbatimChar"/>
    <w:rPr>
      <w:color w:val="40a070"/>
    </w:rPr>
  </w:style>
  <w:style w:type="character" w:styleId="BaseNTok" w:customStyle="1">
    <w:name w:val="BaseNTok"/>
    <w:basedOn w:val="VerbatimChar"/>
    <w:rPr>
      <w:color w:val="40a070"/>
    </w:rPr>
  </w:style>
  <w:style w:type="character" w:styleId="FloatTok" w:customStyle="1">
    <w:name w:val="FloatTok"/>
    <w:basedOn w:val="VerbatimChar"/>
    <w:rPr>
      <w:color w:val="40a070"/>
    </w:rPr>
  </w:style>
  <w:style w:type="character" w:styleId="ConstantTok" w:customStyle="1">
    <w:name w:val="ConstantTok"/>
    <w:basedOn w:val="VerbatimChar"/>
    <w:rPr>
      <w:color w:val="880000"/>
    </w:rPr>
  </w:style>
  <w:style w:type="character" w:styleId="CharTok" w:customStyle="1">
    <w:name w:val="CharTok"/>
    <w:basedOn w:val="VerbatimChar"/>
    <w:rPr>
      <w:color w:val="4070a0"/>
    </w:rPr>
  </w:style>
  <w:style w:type="character" w:styleId="SpecialCharTok" w:customStyle="1">
    <w:name w:val="SpecialCharTok"/>
    <w:basedOn w:val="VerbatimChar"/>
    <w:rPr>
      <w:color w:val="4070a0"/>
    </w:rPr>
  </w:style>
  <w:style w:type="character" w:styleId="StringTok" w:customStyle="1">
    <w:name w:val="StringTok"/>
    <w:basedOn w:val="VerbatimChar"/>
    <w:rPr>
      <w:color w:val="4070a0"/>
    </w:rPr>
  </w:style>
  <w:style w:type="character" w:styleId="VerbatimStringTok" w:customStyle="1">
    <w:name w:val="VerbatimStringTok"/>
    <w:basedOn w:val="VerbatimChar"/>
    <w:rPr>
      <w:color w:val="4070a0"/>
    </w:rPr>
  </w:style>
  <w:style w:type="character" w:styleId="SpecialStringTok" w:customStyle="1">
    <w:name w:val="SpecialStringTok"/>
    <w:basedOn w:val="VerbatimChar"/>
    <w:rPr>
      <w:color w:val="bb6688"/>
    </w:rPr>
  </w:style>
  <w:style w:type="character" w:styleId="ImportTok" w:customStyle="1">
    <w:name w:val="ImportTok"/>
    <w:basedOn w:val="VerbatimChar"/>
    <w:rPr>
      <w:b w:val="1"/>
      <w:color w:val="008000"/>
    </w:rPr>
  </w:style>
  <w:style w:type="character" w:styleId="CommentTok" w:customStyle="1">
    <w:name w:val="CommentTok"/>
    <w:basedOn w:val="VerbatimChar"/>
    <w:rPr>
      <w:i w:val="1"/>
      <w:color w:val="60a0b0"/>
    </w:rPr>
  </w:style>
  <w:style w:type="character" w:styleId="DocumentationTok" w:customStyle="1">
    <w:name w:val="DocumentationTok"/>
    <w:basedOn w:val="VerbatimChar"/>
    <w:rPr>
      <w:i w:val="1"/>
      <w:color w:val="ba2121"/>
    </w:rPr>
  </w:style>
  <w:style w:type="character" w:styleId="AnnotationTok" w:customStyle="1">
    <w:name w:val="AnnotationTok"/>
    <w:basedOn w:val="VerbatimChar"/>
    <w:rPr>
      <w:b w:val="1"/>
      <w:i w:val="1"/>
      <w:color w:val="60a0b0"/>
    </w:rPr>
  </w:style>
  <w:style w:type="character" w:styleId="CommentVarTok" w:customStyle="1">
    <w:name w:val="CommentVarTok"/>
    <w:basedOn w:val="VerbatimChar"/>
    <w:rPr>
      <w:b w:val="1"/>
      <w:i w:val="1"/>
      <w:color w:val="60a0b0"/>
    </w:rPr>
  </w:style>
  <w:style w:type="character" w:styleId="OtherTok" w:customStyle="1">
    <w:name w:val="OtherTok"/>
    <w:basedOn w:val="VerbatimChar"/>
    <w:rPr>
      <w:color w:val="007020"/>
    </w:rPr>
  </w:style>
  <w:style w:type="character" w:styleId="FunctionTok" w:customStyle="1">
    <w:name w:val="FunctionTok"/>
    <w:basedOn w:val="VerbatimChar"/>
    <w:rPr>
      <w:color w:val="06287e"/>
    </w:rPr>
  </w:style>
  <w:style w:type="character" w:styleId="VariableTok" w:customStyle="1">
    <w:name w:val="VariableTok"/>
    <w:basedOn w:val="VerbatimChar"/>
    <w:rPr>
      <w:color w:val="19177c"/>
    </w:rPr>
  </w:style>
  <w:style w:type="character" w:styleId="ControlFlowTok" w:customStyle="1">
    <w:name w:val="ControlFlowTok"/>
    <w:basedOn w:val="VerbatimChar"/>
    <w:rPr>
      <w:b w:val="1"/>
      <w:color w:val="007020"/>
    </w:rPr>
  </w:style>
  <w:style w:type="character" w:styleId="OperatorTok" w:customStyle="1">
    <w:name w:val="OperatorTok"/>
    <w:basedOn w:val="VerbatimChar"/>
    <w:rPr>
      <w:color w:val="666666"/>
    </w:rPr>
  </w:style>
  <w:style w:type="character" w:styleId="BuiltInTok" w:customStyle="1">
    <w:name w:val="BuiltInTok"/>
    <w:basedOn w:val="VerbatimChar"/>
    <w:rPr>
      <w:color w:val="008000"/>
    </w:rPr>
  </w:style>
  <w:style w:type="character" w:styleId="ExtensionTok" w:customStyle="1">
    <w:name w:val="ExtensionTok"/>
    <w:basedOn w:val="VerbatimChar"/>
    <w:rPr/>
  </w:style>
  <w:style w:type="character" w:styleId="PreprocessorTok" w:customStyle="1">
    <w:name w:val="PreprocessorTok"/>
    <w:basedOn w:val="VerbatimChar"/>
    <w:rPr>
      <w:color w:val="bc7a00"/>
    </w:rPr>
  </w:style>
  <w:style w:type="character" w:styleId="AttributeTok" w:customStyle="1">
    <w:name w:val="AttributeTok"/>
    <w:basedOn w:val="VerbatimChar"/>
    <w:rPr>
      <w:color w:val="7d9029"/>
    </w:rPr>
  </w:style>
  <w:style w:type="character" w:styleId="RegionMarkerTok" w:customStyle="1">
    <w:name w:val="RegionMarkerTok"/>
    <w:basedOn w:val="VerbatimChar"/>
    <w:rPr/>
  </w:style>
  <w:style w:type="character" w:styleId="InformationTok" w:customStyle="1">
    <w:name w:val="InformationTok"/>
    <w:basedOn w:val="VerbatimChar"/>
    <w:rPr>
      <w:b w:val="1"/>
      <w:i w:val="1"/>
      <w:color w:val="60a0b0"/>
    </w:rPr>
  </w:style>
  <w:style w:type="character" w:styleId="WarningTok" w:customStyle="1">
    <w:name w:val="WarningTok"/>
    <w:basedOn w:val="VerbatimChar"/>
    <w:rPr>
      <w:b w:val="1"/>
      <w:i w:val="1"/>
      <w:color w:val="60a0b0"/>
    </w:rPr>
  </w:style>
  <w:style w:type="character" w:styleId="AlertTok" w:customStyle="1">
    <w:name w:val="AlertTok"/>
    <w:basedOn w:val="VerbatimChar"/>
    <w:rPr>
      <w:b w:val="1"/>
      <w:color w:val="ff0000"/>
    </w:rPr>
  </w:style>
  <w:style w:type="character" w:styleId="ErrorTok" w:customStyle="1">
    <w:name w:val="ErrorTok"/>
    <w:basedOn w:val="VerbatimChar"/>
    <w:rPr>
      <w:b w:val="1"/>
      <w:color w:val="ff0000"/>
    </w:rPr>
  </w:style>
  <w:style w:type="character" w:styleId="NormalTok" w:customStyle="1">
    <w:name w:val="NormalTok"/>
    <w:basedOn w:val="VerbatimChar"/>
    <w:rPr/>
  </w:style>
  <w:style w:type="paragraph" w:styleId="Subtitle">
    <w:name w:val="Subtitle"/>
    <w:basedOn w:val="Normal"/>
    <w:next w:val="Normal"/>
    <w:pPr>
      <w:spacing w:after="80" w:line="24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HVk6/ayE5ZQ55USNN+LZGUWcnA==">CgMxLjAyD2lkLjZzYWE0MGV0YjNreDIPaWQuMTZ2bmNkc3VyYndrMg9pZC5zeWdlanBlNWZudTcyD2lkLmQ1aGczMjRidzJ0MDIPaWQud3QycWI0d3h4ZGV1Mg9pZC5kNmNscjYzbGUzajEyD2lkLnN3dGphY2hrcWptcDIPaWQuM3VrODMxeTRhODQ4Mg9pZC45bm8zb29hc3E5NTgyD2lkLnl2bTNremdndDl5aDIPaWQubmZvcTV6aTY5ZWZ3Mg9pZC43ZTQxZ2p6YTEwdW4yD2lkLnEybXE5bm9vOGVlNjIPaWQuY2xqd3hwbTRkODhlOAByITFtYkxvLVhmblllcm05QjJIUTNaa2sxVXptZTlfVWoz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2025-11-15T02:38:02Z</dcterms:created>
</cp:coreProperties>
</file>

<file path=docProps/custom.xml><?xml version="1.0" encoding="utf-8"?>
<Properties xmlns="http://schemas.openxmlformats.org/officeDocument/2006/custom-properties" xmlns:vt="http://schemas.openxmlformats.org/officeDocument/2006/docPropsVTypes"/>
</file>