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E6DB8" w14:textId="77777777" w:rsidR="00DA50C1" w:rsidRDefault="00DA50C1">
      <w:pPr>
        <w:pStyle w:val="Heading1"/>
        <w:pBdr>
          <w:bottom w:val="single" w:sz="8" w:space="12" w:color="auto"/>
        </w:pBdr>
        <w:rPr>
          <w:rFonts w:ascii="Arial" w:hAnsi="Arial" w:cs="Arial"/>
          <w:sz w:val="24"/>
          <w:szCs w:val="24"/>
        </w:rPr>
      </w:pPr>
    </w:p>
    <w:p w14:paraId="3AD42EBE" w14:textId="77777777" w:rsidR="00DA50C1" w:rsidRDefault="00DA50C1">
      <w:pPr>
        <w:pStyle w:val="Heading1"/>
        <w:pBdr>
          <w:bottom w:val="single" w:sz="8" w:space="12" w:color="auto"/>
        </w:pBdr>
        <w:rPr>
          <w:rFonts w:ascii="Arial" w:hAnsi="Arial" w:cs="Arial"/>
          <w:sz w:val="24"/>
          <w:szCs w:val="24"/>
        </w:rPr>
      </w:pPr>
    </w:p>
    <w:p w14:paraId="79121572" w14:textId="77777777" w:rsidR="000F3DE2" w:rsidRDefault="00E97C10">
      <w:pPr>
        <w:pStyle w:val="Heading1"/>
        <w:pBdr>
          <w:bottom w:val="single" w:sz="8" w:space="12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P. HERBERT, AIA,</w:t>
      </w:r>
      <w:r w:rsidR="00A04106">
        <w:rPr>
          <w:rFonts w:ascii="Arial" w:hAnsi="Arial" w:cs="Arial"/>
          <w:sz w:val="24"/>
          <w:szCs w:val="24"/>
        </w:rPr>
        <w:t xml:space="preserve"> ID,</w:t>
      </w:r>
      <w:r>
        <w:rPr>
          <w:rFonts w:ascii="Arial" w:hAnsi="Arial" w:cs="Arial"/>
          <w:sz w:val="24"/>
          <w:szCs w:val="24"/>
        </w:rPr>
        <w:t xml:space="preserve"> LEED AP</w:t>
      </w:r>
    </w:p>
    <w:p w14:paraId="45CDC23B" w14:textId="77777777" w:rsidR="00632A0D" w:rsidRPr="00632A0D" w:rsidRDefault="00632A0D" w:rsidP="00632A0D">
      <w:pPr>
        <w:rPr>
          <w:rFonts w:ascii="Arial" w:hAnsi="Arial" w:cs="Arial"/>
          <w:b/>
          <w:sz w:val="22"/>
          <w:szCs w:val="22"/>
        </w:rPr>
      </w:pPr>
      <w:r w:rsidRPr="00632A0D">
        <w:rPr>
          <w:rFonts w:ascii="Arial" w:hAnsi="Arial" w:cs="Arial"/>
          <w:b/>
          <w:sz w:val="22"/>
          <w:szCs w:val="22"/>
          <w:lang w:val="en"/>
        </w:rPr>
        <w:t>Curriculum Vitae</w:t>
      </w:r>
    </w:p>
    <w:p w14:paraId="01A1292E" w14:textId="77777777" w:rsidR="000F3DE2" w:rsidRDefault="000F3DE2">
      <w:pPr>
        <w:rPr>
          <w:rFonts w:ascii="Arial" w:hAnsi="Arial" w:cs="Arial"/>
          <w:sz w:val="22"/>
          <w:szCs w:val="22"/>
        </w:rPr>
      </w:pPr>
    </w:p>
    <w:p w14:paraId="1EB571BA" w14:textId="6A159F0F" w:rsidR="000F3DE2" w:rsidRPr="00632A0D" w:rsidRDefault="00E97C10">
      <w:pPr>
        <w:jc w:val="both"/>
        <w:rPr>
          <w:rFonts w:ascii="Arial" w:hAnsi="Arial" w:cs="Arial"/>
          <w:sz w:val="21"/>
          <w:szCs w:val="21"/>
        </w:rPr>
      </w:pPr>
      <w:r w:rsidRPr="00632A0D">
        <w:rPr>
          <w:rFonts w:ascii="Arial" w:hAnsi="Arial" w:cs="Arial"/>
          <w:b/>
          <w:sz w:val="21"/>
          <w:szCs w:val="21"/>
        </w:rPr>
        <w:t xml:space="preserve">Brian P. Herbert, AIA, </w:t>
      </w:r>
      <w:r w:rsidR="005E0745" w:rsidRPr="00632A0D">
        <w:rPr>
          <w:rFonts w:ascii="Arial" w:hAnsi="Arial" w:cs="Arial"/>
          <w:b/>
          <w:sz w:val="21"/>
          <w:szCs w:val="21"/>
        </w:rPr>
        <w:t xml:space="preserve">ID, </w:t>
      </w:r>
      <w:r w:rsidRPr="00632A0D">
        <w:rPr>
          <w:rFonts w:ascii="Arial" w:hAnsi="Arial" w:cs="Arial"/>
          <w:b/>
          <w:sz w:val="21"/>
          <w:szCs w:val="21"/>
        </w:rPr>
        <w:t>LEED AP</w:t>
      </w:r>
      <w:r w:rsidR="000F3DE2" w:rsidRPr="00632A0D">
        <w:rPr>
          <w:rFonts w:ascii="Arial" w:hAnsi="Arial" w:cs="Arial"/>
          <w:sz w:val="21"/>
          <w:szCs w:val="21"/>
        </w:rPr>
        <w:t xml:space="preserve"> </w:t>
      </w:r>
      <w:r w:rsidRPr="00632A0D">
        <w:rPr>
          <w:rFonts w:ascii="Arial" w:hAnsi="Arial" w:cs="Arial"/>
          <w:sz w:val="21"/>
          <w:szCs w:val="21"/>
        </w:rPr>
        <w:t xml:space="preserve">is </w:t>
      </w:r>
      <w:r w:rsidR="00A56592">
        <w:rPr>
          <w:rFonts w:ascii="Arial" w:hAnsi="Arial" w:cs="Arial"/>
          <w:sz w:val="21"/>
          <w:szCs w:val="21"/>
        </w:rPr>
        <w:t>CEO</w:t>
      </w:r>
      <w:r w:rsidRPr="00632A0D">
        <w:rPr>
          <w:rFonts w:ascii="Arial" w:hAnsi="Arial" w:cs="Arial"/>
          <w:sz w:val="21"/>
          <w:szCs w:val="21"/>
        </w:rPr>
        <w:t xml:space="preserve"> </w:t>
      </w:r>
      <w:r w:rsidR="000F3DE2" w:rsidRPr="00632A0D">
        <w:rPr>
          <w:rFonts w:ascii="Arial" w:hAnsi="Arial" w:cs="Arial"/>
          <w:sz w:val="21"/>
          <w:szCs w:val="21"/>
        </w:rPr>
        <w:t xml:space="preserve">of Gallo </w:t>
      </w:r>
      <w:r w:rsidR="00274AE3" w:rsidRPr="00632A0D">
        <w:rPr>
          <w:rFonts w:ascii="Arial" w:hAnsi="Arial" w:cs="Arial"/>
          <w:sz w:val="21"/>
          <w:szCs w:val="21"/>
        </w:rPr>
        <w:t>Herbert Architects</w:t>
      </w:r>
      <w:r w:rsidR="000F3DE2" w:rsidRPr="00632A0D">
        <w:rPr>
          <w:rFonts w:ascii="Arial" w:hAnsi="Arial" w:cs="Arial"/>
          <w:sz w:val="21"/>
          <w:szCs w:val="21"/>
        </w:rPr>
        <w:t xml:space="preserve">, an architecture, construction and development </w:t>
      </w:r>
      <w:r w:rsidRPr="00632A0D">
        <w:rPr>
          <w:rFonts w:ascii="Arial" w:hAnsi="Arial" w:cs="Arial"/>
          <w:sz w:val="21"/>
          <w:szCs w:val="21"/>
        </w:rPr>
        <w:t xml:space="preserve">consulting </w:t>
      </w:r>
      <w:r w:rsidR="000F3DE2" w:rsidRPr="00632A0D">
        <w:rPr>
          <w:rFonts w:ascii="Arial" w:hAnsi="Arial" w:cs="Arial"/>
          <w:sz w:val="21"/>
          <w:szCs w:val="21"/>
        </w:rPr>
        <w:t>company</w:t>
      </w:r>
      <w:r w:rsidRPr="00632A0D">
        <w:rPr>
          <w:rFonts w:ascii="Arial" w:hAnsi="Arial" w:cs="Arial"/>
          <w:sz w:val="21"/>
          <w:szCs w:val="21"/>
        </w:rPr>
        <w:t xml:space="preserve">. </w:t>
      </w:r>
      <w:r w:rsidR="000F3DE2" w:rsidRPr="00632A0D">
        <w:rPr>
          <w:rFonts w:ascii="Arial" w:hAnsi="Arial" w:cs="Arial"/>
          <w:sz w:val="21"/>
          <w:szCs w:val="21"/>
        </w:rPr>
        <w:t xml:space="preserve">  He serves as </w:t>
      </w:r>
      <w:r w:rsidRPr="00632A0D">
        <w:rPr>
          <w:rFonts w:ascii="Arial" w:hAnsi="Arial" w:cs="Arial"/>
          <w:sz w:val="21"/>
          <w:szCs w:val="21"/>
        </w:rPr>
        <w:t>the Architect of Record for all projects produced by the firm</w:t>
      </w:r>
      <w:r w:rsidR="000F3DE2" w:rsidRPr="00632A0D">
        <w:rPr>
          <w:rFonts w:ascii="Arial" w:hAnsi="Arial" w:cs="Arial"/>
          <w:sz w:val="21"/>
          <w:szCs w:val="21"/>
        </w:rPr>
        <w:t xml:space="preserve">, and is responsible for all </w:t>
      </w:r>
      <w:r w:rsidRPr="00632A0D">
        <w:rPr>
          <w:rFonts w:ascii="Arial" w:hAnsi="Arial" w:cs="Arial"/>
          <w:sz w:val="21"/>
          <w:szCs w:val="21"/>
        </w:rPr>
        <w:t>design and project production and contract administration</w:t>
      </w:r>
      <w:r w:rsidR="000F3DE2" w:rsidRPr="00632A0D">
        <w:rPr>
          <w:rFonts w:ascii="Arial" w:hAnsi="Arial" w:cs="Arial"/>
          <w:sz w:val="21"/>
          <w:szCs w:val="21"/>
        </w:rPr>
        <w:t xml:space="preserve"> operations of the firm</w:t>
      </w:r>
      <w:r w:rsidR="009C01FB" w:rsidRPr="00632A0D">
        <w:rPr>
          <w:rFonts w:ascii="Arial" w:hAnsi="Arial" w:cs="Arial"/>
          <w:sz w:val="21"/>
          <w:szCs w:val="21"/>
        </w:rPr>
        <w:t>s</w:t>
      </w:r>
      <w:r w:rsidR="000F3DE2" w:rsidRPr="00632A0D">
        <w:rPr>
          <w:rFonts w:ascii="Arial" w:hAnsi="Arial" w:cs="Arial"/>
          <w:sz w:val="21"/>
          <w:szCs w:val="21"/>
        </w:rPr>
        <w:t xml:space="preserve">.  Professionally, Mr. </w:t>
      </w:r>
      <w:r w:rsidRPr="00632A0D">
        <w:rPr>
          <w:rFonts w:ascii="Arial" w:hAnsi="Arial" w:cs="Arial"/>
          <w:sz w:val="21"/>
          <w:szCs w:val="21"/>
        </w:rPr>
        <w:t>Herbert</w:t>
      </w:r>
      <w:r w:rsidR="000F3DE2" w:rsidRPr="00632A0D">
        <w:rPr>
          <w:rFonts w:ascii="Arial" w:hAnsi="Arial" w:cs="Arial"/>
          <w:sz w:val="21"/>
          <w:szCs w:val="21"/>
        </w:rPr>
        <w:t xml:space="preserve"> coordinates all government processing of site approvals and provides consulting services for dispute resolution and analysis.</w:t>
      </w:r>
    </w:p>
    <w:p w14:paraId="31D89FE6" w14:textId="77777777" w:rsidR="000F3DE2" w:rsidRPr="00632A0D" w:rsidRDefault="000F3DE2">
      <w:pPr>
        <w:jc w:val="both"/>
        <w:rPr>
          <w:rFonts w:ascii="Arial" w:hAnsi="Arial" w:cs="Arial"/>
          <w:sz w:val="21"/>
          <w:szCs w:val="21"/>
        </w:rPr>
      </w:pPr>
      <w:r w:rsidRPr="00632A0D">
        <w:rPr>
          <w:rFonts w:ascii="Arial" w:hAnsi="Arial" w:cs="Arial"/>
          <w:sz w:val="21"/>
          <w:szCs w:val="21"/>
        </w:rPr>
        <w:t xml:space="preserve"> </w:t>
      </w:r>
    </w:p>
    <w:p w14:paraId="5E7B09CA" w14:textId="16CC78D9" w:rsidR="000F3DE2" w:rsidRPr="00632A0D" w:rsidRDefault="000F3DE2">
      <w:pPr>
        <w:jc w:val="both"/>
        <w:rPr>
          <w:rFonts w:ascii="Arial" w:hAnsi="Arial" w:cs="Arial"/>
          <w:sz w:val="21"/>
          <w:szCs w:val="21"/>
        </w:rPr>
      </w:pPr>
      <w:r w:rsidRPr="00632A0D">
        <w:rPr>
          <w:rFonts w:ascii="Arial" w:hAnsi="Arial" w:cs="Arial"/>
          <w:sz w:val="21"/>
          <w:szCs w:val="21"/>
        </w:rPr>
        <w:t xml:space="preserve">Mr. </w:t>
      </w:r>
      <w:r w:rsidR="00E97C10" w:rsidRPr="00632A0D">
        <w:rPr>
          <w:rFonts w:ascii="Arial" w:hAnsi="Arial" w:cs="Arial"/>
          <w:sz w:val="21"/>
          <w:szCs w:val="21"/>
        </w:rPr>
        <w:t>Herbert i</w:t>
      </w:r>
      <w:r w:rsidRPr="00632A0D">
        <w:rPr>
          <w:rFonts w:ascii="Arial" w:hAnsi="Arial" w:cs="Arial"/>
          <w:sz w:val="21"/>
          <w:szCs w:val="21"/>
        </w:rPr>
        <w:t xml:space="preserve">s unique in the </w:t>
      </w:r>
      <w:r w:rsidR="00E97C10" w:rsidRPr="00632A0D">
        <w:rPr>
          <w:rFonts w:ascii="Arial" w:hAnsi="Arial" w:cs="Arial"/>
          <w:sz w:val="21"/>
          <w:szCs w:val="21"/>
        </w:rPr>
        <w:t xml:space="preserve">architecture </w:t>
      </w:r>
      <w:r w:rsidRPr="00632A0D">
        <w:rPr>
          <w:rFonts w:ascii="Arial" w:hAnsi="Arial" w:cs="Arial"/>
          <w:sz w:val="21"/>
          <w:szCs w:val="21"/>
        </w:rPr>
        <w:t>business.  His training includes architecture</w:t>
      </w:r>
      <w:r w:rsidR="00E97C10" w:rsidRPr="00632A0D">
        <w:rPr>
          <w:rFonts w:ascii="Arial" w:hAnsi="Arial" w:cs="Arial"/>
          <w:sz w:val="21"/>
          <w:szCs w:val="21"/>
        </w:rPr>
        <w:t xml:space="preserve"> and planning with substantial experience in construction administration.</w:t>
      </w:r>
      <w:r w:rsidRPr="00632A0D">
        <w:rPr>
          <w:rFonts w:ascii="Arial" w:hAnsi="Arial" w:cs="Arial"/>
          <w:sz w:val="21"/>
          <w:szCs w:val="21"/>
        </w:rPr>
        <w:t xml:space="preserve"> He </w:t>
      </w:r>
      <w:r w:rsidR="00CF0EC2" w:rsidRPr="00632A0D">
        <w:rPr>
          <w:rFonts w:ascii="Arial" w:hAnsi="Arial" w:cs="Arial"/>
          <w:sz w:val="21"/>
          <w:szCs w:val="21"/>
        </w:rPr>
        <w:t xml:space="preserve">holds Bachelors of Architecture Degree, a State of Florida License in Architecture, </w:t>
      </w:r>
      <w:r w:rsidR="00362E7F" w:rsidRPr="00632A0D">
        <w:rPr>
          <w:rFonts w:ascii="Arial" w:hAnsi="Arial" w:cs="Arial"/>
          <w:sz w:val="21"/>
          <w:szCs w:val="21"/>
        </w:rPr>
        <w:t>and a</w:t>
      </w:r>
      <w:r w:rsidR="00CF0EC2" w:rsidRPr="00632A0D">
        <w:rPr>
          <w:rFonts w:ascii="Arial" w:hAnsi="Arial" w:cs="Arial"/>
          <w:sz w:val="21"/>
          <w:szCs w:val="21"/>
        </w:rPr>
        <w:t xml:space="preserve"> State of Florida License in Interior Design</w:t>
      </w:r>
      <w:r w:rsidR="00A572A5">
        <w:rPr>
          <w:rFonts w:ascii="Arial" w:hAnsi="Arial" w:cs="Arial"/>
          <w:sz w:val="21"/>
          <w:szCs w:val="21"/>
        </w:rPr>
        <w:t xml:space="preserve"> and </w:t>
      </w:r>
      <w:r w:rsidR="00CF0EC2" w:rsidRPr="00632A0D">
        <w:rPr>
          <w:rFonts w:ascii="Arial" w:hAnsi="Arial" w:cs="Arial"/>
          <w:sz w:val="21"/>
          <w:szCs w:val="21"/>
        </w:rPr>
        <w:t>is a LEED Accredited Professional</w:t>
      </w:r>
      <w:r w:rsidR="00A572A5">
        <w:rPr>
          <w:rFonts w:ascii="Arial" w:hAnsi="Arial" w:cs="Arial"/>
          <w:sz w:val="21"/>
          <w:szCs w:val="21"/>
        </w:rPr>
        <w:t xml:space="preserve">. </w:t>
      </w:r>
      <w:r w:rsidR="00274AE3" w:rsidRPr="00632A0D">
        <w:rPr>
          <w:rFonts w:ascii="Arial" w:hAnsi="Arial" w:cs="Arial"/>
          <w:sz w:val="21"/>
          <w:szCs w:val="21"/>
        </w:rPr>
        <w:t xml:space="preserve"> </w:t>
      </w:r>
      <w:r w:rsidR="00CF0EC2" w:rsidRPr="00632A0D">
        <w:rPr>
          <w:rFonts w:ascii="Arial" w:hAnsi="Arial" w:cs="Arial"/>
          <w:sz w:val="21"/>
          <w:szCs w:val="21"/>
        </w:rPr>
        <w:t xml:space="preserve"> </w:t>
      </w:r>
      <w:r w:rsidR="00A102D3" w:rsidRPr="00632A0D">
        <w:rPr>
          <w:rFonts w:ascii="Arial" w:hAnsi="Arial" w:cs="Arial"/>
          <w:sz w:val="21"/>
          <w:szCs w:val="21"/>
        </w:rPr>
        <w:t xml:space="preserve"> </w:t>
      </w:r>
    </w:p>
    <w:p w14:paraId="31337AAA" w14:textId="77777777" w:rsidR="00CF0EC2" w:rsidRPr="00632A0D" w:rsidRDefault="00CF0EC2">
      <w:pPr>
        <w:jc w:val="both"/>
        <w:rPr>
          <w:rFonts w:ascii="Arial" w:hAnsi="Arial" w:cs="Arial"/>
          <w:sz w:val="21"/>
          <w:szCs w:val="21"/>
        </w:rPr>
      </w:pPr>
    </w:p>
    <w:p w14:paraId="1EF599B0" w14:textId="77777777" w:rsidR="000F3DE2" w:rsidRPr="00632A0D" w:rsidRDefault="000F3DE2">
      <w:pPr>
        <w:jc w:val="both"/>
        <w:rPr>
          <w:rFonts w:ascii="Arial" w:hAnsi="Arial" w:cs="Arial"/>
          <w:sz w:val="21"/>
          <w:szCs w:val="21"/>
        </w:rPr>
      </w:pPr>
      <w:r w:rsidRPr="00632A0D">
        <w:rPr>
          <w:rFonts w:ascii="Arial" w:hAnsi="Arial" w:cs="Arial"/>
          <w:sz w:val="21"/>
          <w:szCs w:val="21"/>
        </w:rPr>
        <w:t xml:space="preserve">During his professional career, Mr. </w:t>
      </w:r>
      <w:r w:rsidR="00CF0EC2" w:rsidRPr="00632A0D">
        <w:rPr>
          <w:rFonts w:ascii="Arial" w:hAnsi="Arial" w:cs="Arial"/>
          <w:sz w:val="21"/>
          <w:szCs w:val="21"/>
        </w:rPr>
        <w:t>Herbert</w:t>
      </w:r>
      <w:r w:rsidRPr="00632A0D">
        <w:rPr>
          <w:rFonts w:ascii="Arial" w:hAnsi="Arial" w:cs="Arial"/>
          <w:sz w:val="21"/>
          <w:szCs w:val="21"/>
        </w:rPr>
        <w:t xml:space="preserve"> has performed numerous noteworthy projects and received </w:t>
      </w:r>
      <w:r w:rsidR="00CF0EC2" w:rsidRPr="00632A0D">
        <w:rPr>
          <w:rFonts w:ascii="Arial" w:hAnsi="Arial" w:cs="Arial"/>
          <w:sz w:val="21"/>
          <w:szCs w:val="21"/>
        </w:rPr>
        <w:t xml:space="preserve">recognition </w:t>
      </w:r>
      <w:r w:rsidRPr="00632A0D">
        <w:rPr>
          <w:rFonts w:ascii="Arial" w:hAnsi="Arial" w:cs="Arial"/>
          <w:sz w:val="21"/>
          <w:szCs w:val="21"/>
        </w:rPr>
        <w:t xml:space="preserve">for </w:t>
      </w:r>
      <w:r w:rsidR="00CF0EC2" w:rsidRPr="00632A0D">
        <w:rPr>
          <w:rFonts w:ascii="Arial" w:hAnsi="Arial" w:cs="Arial"/>
          <w:sz w:val="21"/>
          <w:szCs w:val="21"/>
        </w:rPr>
        <w:t>a</w:t>
      </w:r>
      <w:r w:rsidRPr="00632A0D">
        <w:rPr>
          <w:rFonts w:ascii="Arial" w:hAnsi="Arial" w:cs="Arial"/>
          <w:sz w:val="21"/>
          <w:szCs w:val="21"/>
        </w:rPr>
        <w:t>rchitecture</w:t>
      </w:r>
      <w:r w:rsidR="00CF0EC2" w:rsidRPr="00632A0D">
        <w:rPr>
          <w:rFonts w:ascii="Arial" w:hAnsi="Arial" w:cs="Arial"/>
          <w:sz w:val="21"/>
          <w:szCs w:val="21"/>
        </w:rPr>
        <w:t xml:space="preserve"> and interior design</w:t>
      </w:r>
      <w:r w:rsidRPr="00632A0D">
        <w:rPr>
          <w:rFonts w:ascii="Arial" w:hAnsi="Arial" w:cs="Arial"/>
          <w:sz w:val="21"/>
          <w:szCs w:val="21"/>
        </w:rPr>
        <w:t xml:space="preserve">.  Key Florida projects the firm has performed and received recognition for are, Department of Homeland Security Southeast Sector Headquarters, Pembroke Pines, </w:t>
      </w:r>
      <w:r w:rsidR="00362E7F" w:rsidRPr="00632A0D">
        <w:rPr>
          <w:rFonts w:ascii="Arial" w:hAnsi="Arial" w:cs="Arial"/>
          <w:sz w:val="21"/>
          <w:szCs w:val="21"/>
        </w:rPr>
        <w:t xml:space="preserve">Dania Beach Customs and Border Patrol </w:t>
      </w:r>
      <w:r w:rsidR="00C40A12" w:rsidRPr="00632A0D">
        <w:rPr>
          <w:rFonts w:ascii="Arial" w:hAnsi="Arial" w:cs="Arial"/>
          <w:sz w:val="21"/>
          <w:szCs w:val="21"/>
        </w:rPr>
        <w:t>Facility</w:t>
      </w:r>
      <w:r w:rsidR="00362E7F" w:rsidRPr="00632A0D">
        <w:rPr>
          <w:rFonts w:ascii="Arial" w:hAnsi="Arial" w:cs="Arial"/>
          <w:sz w:val="21"/>
          <w:szCs w:val="21"/>
        </w:rPr>
        <w:t xml:space="preserve">, </w:t>
      </w:r>
      <w:r w:rsidR="00C40A12" w:rsidRPr="00632A0D">
        <w:rPr>
          <w:rFonts w:ascii="Arial" w:hAnsi="Arial" w:cs="Arial"/>
          <w:sz w:val="21"/>
          <w:szCs w:val="21"/>
        </w:rPr>
        <w:t>Tallahassee</w:t>
      </w:r>
      <w:r w:rsidR="00362E7F" w:rsidRPr="00632A0D">
        <w:rPr>
          <w:rFonts w:ascii="Arial" w:hAnsi="Arial" w:cs="Arial"/>
          <w:sz w:val="21"/>
          <w:szCs w:val="21"/>
        </w:rPr>
        <w:t xml:space="preserve"> Immigrations and Customs Enforcement Building</w:t>
      </w:r>
      <w:r w:rsidRPr="00632A0D">
        <w:rPr>
          <w:rFonts w:ascii="Arial" w:hAnsi="Arial" w:cs="Arial"/>
          <w:sz w:val="21"/>
          <w:szCs w:val="21"/>
        </w:rPr>
        <w:t xml:space="preserve">, FAU Research Park, Johnson &amp; Wales University, North Miami, </w:t>
      </w:r>
      <w:r w:rsidR="00362E7F" w:rsidRPr="00632A0D">
        <w:rPr>
          <w:rFonts w:ascii="Arial" w:hAnsi="Arial" w:cs="Arial"/>
          <w:sz w:val="21"/>
          <w:szCs w:val="21"/>
        </w:rPr>
        <w:t xml:space="preserve">Numerous Campus Building and </w:t>
      </w:r>
      <w:r w:rsidRPr="00632A0D">
        <w:rPr>
          <w:rFonts w:ascii="Arial" w:hAnsi="Arial" w:cs="Arial"/>
          <w:sz w:val="21"/>
          <w:szCs w:val="21"/>
        </w:rPr>
        <w:t xml:space="preserve">Master Plan, Nova Southeastern University Law Center and </w:t>
      </w:r>
      <w:r w:rsidR="00C40A12" w:rsidRPr="00632A0D">
        <w:rPr>
          <w:rFonts w:ascii="Arial" w:hAnsi="Arial" w:cs="Arial"/>
          <w:sz w:val="21"/>
          <w:szCs w:val="21"/>
        </w:rPr>
        <w:t>Rolling Hill Graduate Residence Halls</w:t>
      </w:r>
      <w:r w:rsidRPr="00632A0D">
        <w:rPr>
          <w:rFonts w:ascii="Arial" w:hAnsi="Arial" w:cs="Arial"/>
          <w:sz w:val="21"/>
          <w:szCs w:val="21"/>
        </w:rPr>
        <w:t xml:space="preserve">, FAU/Chartwells Dining Facilities and Gulf Reflections </w:t>
      </w:r>
      <w:r w:rsidR="00C40A12" w:rsidRPr="00632A0D">
        <w:rPr>
          <w:rFonts w:ascii="Arial" w:hAnsi="Arial" w:cs="Arial"/>
          <w:sz w:val="21"/>
          <w:szCs w:val="21"/>
        </w:rPr>
        <w:t xml:space="preserve">Condominium </w:t>
      </w:r>
      <w:r w:rsidRPr="00632A0D">
        <w:rPr>
          <w:rFonts w:ascii="Arial" w:hAnsi="Arial" w:cs="Arial"/>
          <w:sz w:val="21"/>
          <w:szCs w:val="21"/>
        </w:rPr>
        <w:t xml:space="preserve">Community, Fort Myers.  </w:t>
      </w:r>
      <w:r w:rsidR="00362E7F" w:rsidRPr="00632A0D">
        <w:rPr>
          <w:rFonts w:ascii="Arial" w:hAnsi="Arial" w:cs="Arial"/>
          <w:sz w:val="21"/>
          <w:szCs w:val="21"/>
        </w:rPr>
        <w:t>Ad</w:t>
      </w:r>
      <w:r w:rsidR="00274AE3" w:rsidRPr="00632A0D">
        <w:rPr>
          <w:rFonts w:ascii="Arial" w:hAnsi="Arial" w:cs="Arial"/>
          <w:sz w:val="21"/>
          <w:szCs w:val="21"/>
        </w:rPr>
        <w:t>ditionally, Gallo Herbert Architects</w:t>
      </w:r>
      <w:r w:rsidR="00362E7F" w:rsidRPr="00632A0D">
        <w:rPr>
          <w:rFonts w:ascii="Arial" w:hAnsi="Arial" w:cs="Arial"/>
          <w:sz w:val="21"/>
          <w:szCs w:val="21"/>
        </w:rPr>
        <w:t xml:space="preserve"> and Mr. Herbert </w:t>
      </w:r>
      <w:r w:rsidR="00C40A12" w:rsidRPr="00632A0D">
        <w:rPr>
          <w:rFonts w:ascii="Arial" w:hAnsi="Arial" w:cs="Arial"/>
          <w:sz w:val="21"/>
          <w:szCs w:val="21"/>
        </w:rPr>
        <w:t>have</w:t>
      </w:r>
      <w:r w:rsidR="00362E7F" w:rsidRPr="00632A0D">
        <w:rPr>
          <w:rFonts w:ascii="Arial" w:hAnsi="Arial" w:cs="Arial"/>
          <w:sz w:val="21"/>
          <w:szCs w:val="21"/>
        </w:rPr>
        <w:t xml:space="preserve"> received recent recognition from the A</w:t>
      </w:r>
      <w:r w:rsidR="00274AE3" w:rsidRPr="00632A0D">
        <w:rPr>
          <w:rFonts w:ascii="Arial" w:hAnsi="Arial" w:cs="Arial"/>
          <w:sz w:val="21"/>
          <w:szCs w:val="21"/>
        </w:rPr>
        <w:t>merican School and Universities,</w:t>
      </w:r>
      <w:r w:rsidR="00C40A12" w:rsidRPr="00632A0D">
        <w:rPr>
          <w:rFonts w:ascii="Arial" w:hAnsi="Arial" w:cs="Arial"/>
          <w:sz w:val="21"/>
          <w:szCs w:val="21"/>
        </w:rPr>
        <w:t xml:space="preserve"> the International Interior Design Association</w:t>
      </w:r>
      <w:r w:rsidR="00274AE3" w:rsidRPr="00632A0D">
        <w:rPr>
          <w:rFonts w:ascii="Arial" w:hAnsi="Arial" w:cs="Arial"/>
          <w:sz w:val="21"/>
          <w:szCs w:val="21"/>
        </w:rPr>
        <w:t xml:space="preserve"> and the American Institute of Architects </w:t>
      </w:r>
      <w:r w:rsidR="00362E7F" w:rsidRPr="00632A0D">
        <w:rPr>
          <w:rFonts w:ascii="Arial" w:hAnsi="Arial" w:cs="Arial"/>
          <w:sz w:val="21"/>
          <w:szCs w:val="21"/>
        </w:rPr>
        <w:t>for the Design of projects at Nova Southeastern University</w:t>
      </w:r>
      <w:r w:rsidR="00C40A12" w:rsidRPr="00632A0D">
        <w:rPr>
          <w:rFonts w:ascii="Arial" w:hAnsi="Arial" w:cs="Arial"/>
          <w:sz w:val="21"/>
          <w:szCs w:val="21"/>
        </w:rPr>
        <w:t>, Johnson and Wales University and</w:t>
      </w:r>
      <w:r w:rsidR="00362E7F" w:rsidRPr="00632A0D">
        <w:rPr>
          <w:rFonts w:ascii="Arial" w:hAnsi="Arial" w:cs="Arial"/>
          <w:sz w:val="21"/>
          <w:szCs w:val="21"/>
        </w:rPr>
        <w:t xml:space="preserve"> Florida Atlantic University as the Architect of Record.  </w:t>
      </w:r>
    </w:p>
    <w:p w14:paraId="4F15A4D1" w14:textId="77777777" w:rsidR="005329A0" w:rsidRPr="00632A0D" w:rsidRDefault="005329A0">
      <w:pPr>
        <w:jc w:val="both"/>
        <w:rPr>
          <w:rFonts w:ascii="Helvetica" w:hAnsi="Helvetica"/>
          <w:sz w:val="21"/>
          <w:szCs w:val="21"/>
        </w:rPr>
      </w:pPr>
    </w:p>
    <w:p w14:paraId="0C60C264" w14:textId="77777777" w:rsidR="009D41E2" w:rsidRPr="00632A0D" w:rsidRDefault="005329A0">
      <w:pPr>
        <w:jc w:val="both"/>
        <w:rPr>
          <w:rFonts w:ascii="Helvetica" w:hAnsi="Helvetica"/>
          <w:sz w:val="21"/>
          <w:szCs w:val="21"/>
        </w:rPr>
      </w:pPr>
      <w:r w:rsidRPr="00632A0D">
        <w:rPr>
          <w:rFonts w:ascii="Helvetica" w:hAnsi="Helvetica"/>
          <w:sz w:val="21"/>
          <w:szCs w:val="21"/>
        </w:rPr>
        <w:t xml:space="preserve">Mr. Herbert is an expert witness and consultant in the field of design and construction. He has consulted and testified in deposition pertaining to </w:t>
      </w:r>
      <w:r w:rsidR="009D41E2" w:rsidRPr="00632A0D">
        <w:rPr>
          <w:rFonts w:ascii="Helvetica" w:hAnsi="Helvetica"/>
          <w:sz w:val="21"/>
          <w:szCs w:val="21"/>
        </w:rPr>
        <w:t>ADA Compliance, Water Intrusion Issues, Professional Standard of Care</w:t>
      </w:r>
      <w:r w:rsidR="00632A0D" w:rsidRPr="00632A0D">
        <w:rPr>
          <w:rFonts w:ascii="Helvetica" w:hAnsi="Helvetica"/>
          <w:sz w:val="21"/>
          <w:szCs w:val="21"/>
        </w:rPr>
        <w:t xml:space="preserve">, </w:t>
      </w:r>
      <w:r w:rsidR="00834215">
        <w:rPr>
          <w:rFonts w:ascii="Helvetica" w:hAnsi="Helvetica"/>
          <w:sz w:val="21"/>
          <w:szCs w:val="21"/>
        </w:rPr>
        <w:t xml:space="preserve">Conformance of </w:t>
      </w:r>
      <w:r w:rsidR="00632A0D" w:rsidRPr="00632A0D">
        <w:rPr>
          <w:rFonts w:ascii="Helvetica" w:hAnsi="Helvetica"/>
          <w:sz w:val="21"/>
          <w:szCs w:val="21"/>
        </w:rPr>
        <w:t xml:space="preserve">Construction </w:t>
      </w:r>
      <w:r w:rsidR="00834215">
        <w:rPr>
          <w:rFonts w:ascii="Helvetica" w:hAnsi="Helvetica"/>
          <w:sz w:val="21"/>
          <w:szCs w:val="21"/>
        </w:rPr>
        <w:t xml:space="preserve">to </w:t>
      </w:r>
      <w:r w:rsidR="00632A0D" w:rsidRPr="00632A0D">
        <w:rPr>
          <w:rFonts w:ascii="Helvetica" w:hAnsi="Helvetica"/>
          <w:sz w:val="21"/>
          <w:szCs w:val="21"/>
        </w:rPr>
        <w:t xml:space="preserve">Plans and Specification, Analysis of Improper Product Application or Installation </w:t>
      </w:r>
      <w:r w:rsidR="009D41E2" w:rsidRPr="00632A0D">
        <w:rPr>
          <w:rFonts w:ascii="Helvetica" w:hAnsi="Helvetica"/>
          <w:sz w:val="21"/>
          <w:szCs w:val="21"/>
        </w:rPr>
        <w:t xml:space="preserve">and Eminent Domain cases for both defendants and plaintiffs.   Mr. Herbert, President of Gallo Herbert Architects has more than 20 years hands-on experience in design and contract administration for the construction and remodeling for commercial and multi-family residential buildings. </w:t>
      </w:r>
      <w:r w:rsidR="00632A0D" w:rsidRPr="00632A0D">
        <w:rPr>
          <w:rFonts w:ascii="Helvetica" w:hAnsi="Helvetica"/>
          <w:sz w:val="21"/>
          <w:szCs w:val="21"/>
        </w:rPr>
        <w:t xml:space="preserve"> Mr. Herbert also acts as a peer review consultant for other Architectural firms assisting them with quality control, constructability review, code conformance</w:t>
      </w:r>
      <w:r w:rsidR="00834215">
        <w:rPr>
          <w:rFonts w:ascii="Helvetica" w:hAnsi="Helvetica"/>
          <w:sz w:val="21"/>
          <w:szCs w:val="21"/>
        </w:rPr>
        <w:t>, building envelope</w:t>
      </w:r>
      <w:r w:rsidR="00632A0D" w:rsidRPr="00632A0D">
        <w:rPr>
          <w:rFonts w:ascii="Helvetica" w:hAnsi="Helvetica"/>
          <w:sz w:val="21"/>
          <w:szCs w:val="21"/>
        </w:rPr>
        <w:t xml:space="preserve"> and issue identification.   </w:t>
      </w:r>
    </w:p>
    <w:p w14:paraId="770E2F58" w14:textId="77777777" w:rsidR="009D41E2" w:rsidRPr="00632A0D" w:rsidRDefault="009D41E2">
      <w:pPr>
        <w:jc w:val="both"/>
        <w:rPr>
          <w:rFonts w:ascii="Arial" w:hAnsi="Arial" w:cs="Arial"/>
          <w:sz w:val="21"/>
          <w:szCs w:val="21"/>
        </w:rPr>
      </w:pPr>
    </w:p>
    <w:p w14:paraId="763B4BEF" w14:textId="77777777" w:rsidR="00274AE3" w:rsidRPr="00632A0D" w:rsidRDefault="00274AE3">
      <w:pPr>
        <w:jc w:val="both"/>
        <w:rPr>
          <w:rFonts w:ascii="Arial" w:hAnsi="Arial" w:cs="Arial"/>
          <w:sz w:val="21"/>
          <w:szCs w:val="21"/>
        </w:rPr>
      </w:pPr>
      <w:r w:rsidRPr="00632A0D">
        <w:rPr>
          <w:rFonts w:ascii="Arial" w:hAnsi="Arial" w:cs="Arial"/>
          <w:sz w:val="21"/>
          <w:szCs w:val="21"/>
        </w:rPr>
        <w:t xml:space="preserve">Mr. Herbert devotion to sustainability is evident is through his </w:t>
      </w:r>
      <w:r w:rsidR="00A04106" w:rsidRPr="00632A0D">
        <w:rPr>
          <w:rFonts w:ascii="Arial" w:hAnsi="Arial" w:cs="Arial"/>
          <w:sz w:val="21"/>
          <w:szCs w:val="21"/>
        </w:rPr>
        <w:t>numerous</w:t>
      </w:r>
      <w:r w:rsidRPr="00632A0D">
        <w:rPr>
          <w:rFonts w:ascii="Arial" w:hAnsi="Arial" w:cs="Arial"/>
          <w:sz w:val="21"/>
          <w:szCs w:val="21"/>
        </w:rPr>
        <w:t xml:space="preserve"> projects as Architect of Record and LEED AP.  These projects include the first LEED Platinum Commercial Interior in the State of Florida at FAU’s College of Engineering Food Service Venue, a LEED Silver Immigrations and Customs Enforcement (ICE) </w:t>
      </w:r>
      <w:r w:rsidR="00A04106" w:rsidRPr="00632A0D">
        <w:rPr>
          <w:rFonts w:ascii="Arial" w:hAnsi="Arial" w:cs="Arial"/>
          <w:sz w:val="21"/>
          <w:szCs w:val="21"/>
        </w:rPr>
        <w:t xml:space="preserve">Detention Center as well as the conversion of the John U. Lloyd State Park to a “net zero energy” park through the incorporation of photo voltaic arrays.   </w:t>
      </w:r>
    </w:p>
    <w:p w14:paraId="5BDD1186" w14:textId="77777777" w:rsidR="00CF0EC2" w:rsidRPr="00632A0D" w:rsidRDefault="00CF0EC2">
      <w:pPr>
        <w:jc w:val="both"/>
        <w:rPr>
          <w:rFonts w:ascii="Arial" w:hAnsi="Arial" w:cs="Arial"/>
          <w:sz w:val="21"/>
          <w:szCs w:val="21"/>
        </w:rPr>
      </w:pPr>
    </w:p>
    <w:p w14:paraId="4AF62BB4" w14:textId="77777777" w:rsidR="000F3DE2" w:rsidRDefault="000F3DE2">
      <w:pPr>
        <w:jc w:val="both"/>
        <w:rPr>
          <w:rFonts w:ascii="Arial" w:hAnsi="Arial" w:cs="Arial"/>
          <w:sz w:val="22"/>
          <w:szCs w:val="22"/>
        </w:rPr>
      </w:pPr>
      <w:r w:rsidRPr="00632A0D">
        <w:rPr>
          <w:rFonts w:ascii="Arial" w:hAnsi="Arial" w:cs="Arial"/>
          <w:sz w:val="21"/>
          <w:szCs w:val="21"/>
        </w:rPr>
        <w:t xml:space="preserve">Community service is important to Mr. </w:t>
      </w:r>
      <w:r w:rsidR="00CF0EC2" w:rsidRPr="00632A0D">
        <w:rPr>
          <w:rFonts w:ascii="Arial" w:hAnsi="Arial" w:cs="Arial"/>
          <w:sz w:val="21"/>
          <w:szCs w:val="21"/>
        </w:rPr>
        <w:t>Herbert</w:t>
      </w:r>
      <w:r w:rsidRPr="00632A0D">
        <w:rPr>
          <w:rFonts w:ascii="Arial" w:hAnsi="Arial" w:cs="Arial"/>
          <w:sz w:val="21"/>
          <w:szCs w:val="21"/>
        </w:rPr>
        <w:t xml:space="preserve">’s personal philosophy.  Currently </w:t>
      </w:r>
      <w:r w:rsidR="00893F66" w:rsidRPr="00632A0D">
        <w:rPr>
          <w:rFonts w:ascii="Arial" w:hAnsi="Arial" w:cs="Arial"/>
          <w:sz w:val="21"/>
          <w:szCs w:val="21"/>
        </w:rPr>
        <w:t xml:space="preserve">he </w:t>
      </w:r>
      <w:r w:rsidRPr="00632A0D">
        <w:rPr>
          <w:rFonts w:ascii="Arial" w:hAnsi="Arial" w:cs="Arial"/>
          <w:sz w:val="21"/>
          <w:szCs w:val="21"/>
        </w:rPr>
        <w:t>serves on many local committees and organizations</w:t>
      </w:r>
      <w:r w:rsidR="00CF0EC2" w:rsidRPr="00632A0D">
        <w:rPr>
          <w:rFonts w:ascii="Arial" w:hAnsi="Arial" w:cs="Arial"/>
          <w:sz w:val="21"/>
          <w:szCs w:val="21"/>
        </w:rPr>
        <w:t xml:space="preserve">.  </w:t>
      </w:r>
      <w:r w:rsidRPr="00632A0D">
        <w:rPr>
          <w:rFonts w:ascii="Arial" w:hAnsi="Arial" w:cs="Arial"/>
          <w:sz w:val="21"/>
          <w:szCs w:val="21"/>
        </w:rPr>
        <w:t xml:space="preserve"> He is </w:t>
      </w:r>
      <w:r w:rsidR="00CF0EC2" w:rsidRPr="00632A0D">
        <w:rPr>
          <w:rFonts w:ascii="Arial" w:hAnsi="Arial" w:cs="Arial"/>
          <w:sz w:val="21"/>
          <w:szCs w:val="21"/>
        </w:rPr>
        <w:t xml:space="preserve">the </w:t>
      </w:r>
      <w:r w:rsidR="00C40A12" w:rsidRPr="00632A0D">
        <w:rPr>
          <w:rFonts w:ascii="Arial" w:hAnsi="Arial" w:cs="Arial"/>
          <w:sz w:val="21"/>
          <w:szCs w:val="21"/>
        </w:rPr>
        <w:t xml:space="preserve">Past </w:t>
      </w:r>
      <w:r w:rsidR="00CF0EC2" w:rsidRPr="00632A0D">
        <w:rPr>
          <w:rFonts w:ascii="Arial" w:hAnsi="Arial" w:cs="Arial"/>
          <w:sz w:val="21"/>
          <w:szCs w:val="21"/>
        </w:rPr>
        <w:t xml:space="preserve">Chairman </w:t>
      </w:r>
      <w:r w:rsidRPr="00632A0D">
        <w:rPr>
          <w:rFonts w:ascii="Arial" w:hAnsi="Arial" w:cs="Arial"/>
          <w:sz w:val="21"/>
          <w:szCs w:val="21"/>
        </w:rPr>
        <w:t xml:space="preserve">of the City of </w:t>
      </w:r>
      <w:r w:rsidR="00CF0EC2" w:rsidRPr="00632A0D">
        <w:rPr>
          <w:rFonts w:ascii="Arial" w:hAnsi="Arial" w:cs="Arial"/>
          <w:sz w:val="21"/>
          <w:szCs w:val="21"/>
        </w:rPr>
        <w:t>Deerfield Beach Community Appearance Board</w:t>
      </w:r>
      <w:r w:rsidR="00C40A12" w:rsidRPr="00632A0D">
        <w:rPr>
          <w:rFonts w:ascii="Arial" w:hAnsi="Arial" w:cs="Arial"/>
          <w:sz w:val="21"/>
          <w:szCs w:val="21"/>
        </w:rPr>
        <w:t>, a</w:t>
      </w:r>
      <w:r w:rsidR="00CF0EC2" w:rsidRPr="00632A0D">
        <w:rPr>
          <w:rFonts w:ascii="Arial" w:hAnsi="Arial" w:cs="Arial"/>
          <w:sz w:val="21"/>
          <w:szCs w:val="21"/>
        </w:rPr>
        <w:t xml:space="preserve"> Member of the Green Building Council Broward Chapter, </w:t>
      </w:r>
      <w:r w:rsidR="00C40A12" w:rsidRPr="00632A0D">
        <w:rPr>
          <w:rFonts w:ascii="Arial" w:hAnsi="Arial" w:cs="Arial"/>
          <w:sz w:val="21"/>
          <w:szCs w:val="21"/>
        </w:rPr>
        <w:t xml:space="preserve">served as </w:t>
      </w:r>
      <w:r w:rsidR="00CF0EC2" w:rsidRPr="00632A0D">
        <w:rPr>
          <w:rFonts w:ascii="Arial" w:hAnsi="Arial" w:cs="Arial"/>
          <w:sz w:val="21"/>
          <w:szCs w:val="21"/>
        </w:rPr>
        <w:t xml:space="preserve">the Review Architect for the City of Deerfield Beach Façade </w:t>
      </w:r>
      <w:r w:rsidR="00973216" w:rsidRPr="00632A0D">
        <w:rPr>
          <w:rFonts w:ascii="Arial" w:hAnsi="Arial" w:cs="Arial"/>
          <w:sz w:val="21"/>
          <w:szCs w:val="21"/>
        </w:rPr>
        <w:t xml:space="preserve">Improvement Design Committee, </w:t>
      </w:r>
      <w:r w:rsidR="00CF0EC2" w:rsidRPr="00632A0D">
        <w:rPr>
          <w:rFonts w:ascii="Arial" w:hAnsi="Arial" w:cs="Arial"/>
          <w:sz w:val="21"/>
          <w:szCs w:val="21"/>
        </w:rPr>
        <w:t>a American Institute of Architects</w:t>
      </w:r>
      <w:r w:rsidR="00973216" w:rsidRPr="00632A0D">
        <w:rPr>
          <w:rFonts w:ascii="Arial" w:hAnsi="Arial" w:cs="Arial"/>
          <w:sz w:val="21"/>
          <w:szCs w:val="21"/>
        </w:rPr>
        <w:t xml:space="preserve"> (AIA), the National Council of Architectural Registration Boards (NCARB) and is an active member of the City of Deerfield Beach Chamber of Commerce and the Davie/Cooper City Chamber of Commerce.</w:t>
      </w:r>
      <w:r w:rsidR="00CF0EC2" w:rsidRPr="00632A0D">
        <w:rPr>
          <w:rFonts w:ascii="Arial" w:hAnsi="Arial" w:cs="Arial"/>
          <w:sz w:val="21"/>
          <w:szCs w:val="21"/>
        </w:rPr>
        <w:t xml:space="preserve">  </w:t>
      </w:r>
      <w:r w:rsidRPr="00632A0D">
        <w:rPr>
          <w:rFonts w:ascii="Arial" w:hAnsi="Arial" w:cs="Arial"/>
          <w:sz w:val="21"/>
          <w:szCs w:val="21"/>
        </w:rPr>
        <w:t xml:space="preserve"> </w:t>
      </w:r>
    </w:p>
    <w:p w14:paraId="60F7730D" w14:textId="77777777" w:rsidR="00F93836" w:rsidRDefault="00F93836">
      <w:pPr>
        <w:jc w:val="both"/>
        <w:rPr>
          <w:rFonts w:ascii="Arial" w:hAnsi="Arial" w:cs="Arial"/>
          <w:b/>
          <w:sz w:val="22"/>
          <w:szCs w:val="22"/>
        </w:rPr>
      </w:pPr>
    </w:p>
    <w:p w14:paraId="1005B1B0" w14:textId="3D44E1FE" w:rsidR="00DA50C1" w:rsidRDefault="00DA50C1">
      <w:pPr>
        <w:jc w:val="both"/>
        <w:rPr>
          <w:rFonts w:ascii="Arial" w:hAnsi="Arial" w:cs="Arial"/>
          <w:b/>
          <w:sz w:val="22"/>
          <w:szCs w:val="22"/>
        </w:rPr>
      </w:pPr>
    </w:p>
    <w:p w14:paraId="169E99DA" w14:textId="5D810C19" w:rsidR="00A572A5" w:rsidRDefault="00A572A5">
      <w:pPr>
        <w:jc w:val="both"/>
        <w:rPr>
          <w:rFonts w:ascii="Arial" w:hAnsi="Arial" w:cs="Arial"/>
          <w:b/>
          <w:sz w:val="22"/>
          <w:szCs w:val="22"/>
        </w:rPr>
      </w:pPr>
    </w:p>
    <w:p w14:paraId="3AB9F4FF" w14:textId="77777777" w:rsidR="00A572A5" w:rsidRDefault="00A572A5">
      <w:pPr>
        <w:jc w:val="both"/>
        <w:rPr>
          <w:rFonts w:ascii="Arial" w:hAnsi="Arial" w:cs="Arial"/>
          <w:b/>
          <w:sz w:val="22"/>
          <w:szCs w:val="22"/>
        </w:rPr>
      </w:pPr>
    </w:p>
    <w:p w14:paraId="457E58FF" w14:textId="77777777" w:rsidR="000875AC" w:rsidRDefault="000875AC">
      <w:pPr>
        <w:jc w:val="both"/>
        <w:rPr>
          <w:rFonts w:ascii="Arial" w:hAnsi="Arial" w:cs="Arial"/>
          <w:b/>
          <w:sz w:val="22"/>
          <w:szCs w:val="22"/>
        </w:rPr>
      </w:pPr>
    </w:p>
    <w:p w14:paraId="1B2900FC" w14:textId="77777777" w:rsidR="000875AC" w:rsidRDefault="000875AC">
      <w:pPr>
        <w:jc w:val="both"/>
        <w:rPr>
          <w:rFonts w:ascii="Arial" w:hAnsi="Arial" w:cs="Arial"/>
          <w:b/>
          <w:sz w:val="22"/>
          <w:szCs w:val="22"/>
        </w:rPr>
      </w:pPr>
    </w:p>
    <w:p w14:paraId="0F178EEE" w14:textId="77777777" w:rsidR="000875AC" w:rsidRDefault="000875AC">
      <w:pPr>
        <w:jc w:val="both"/>
        <w:rPr>
          <w:rFonts w:ascii="Arial" w:hAnsi="Arial" w:cs="Arial"/>
          <w:b/>
          <w:sz w:val="22"/>
          <w:szCs w:val="22"/>
        </w:rPr>
      </w:pPr>
    </w:p>
    <w:p w14:paraId="15D2E999" w14:textId="77777777" w:rsidR="000F3DE2" w:rsidRDefault="000F3D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EDUCATION</w:t>
      </w:r>
    </w:p>
    <w:p w14:paraId="575861B5" w14:textId="77777777" w:rsidR="00973216" w:rsidRDefault="00973216">
      <w:pPr>
        <w:jc w:val="both"/>
        <w:rPr>
          <w:rFonts w:ascii="Arial" w:hAnsi="Arial" w:cs="Arial"/>
          <w:sz w:val="22"/>
          <w:szCs w:val="22"/>
        </w:rPr>
      </w:pPr>
    </w:p>
    <w:p w14:paraId="74A92F66" w14:textId="77777777" w:rsidR="000F3DE2" w:rsidRDefault="00362E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Florida A&amp;M University - Bachelor of Architecture 1990.</w:t>
      </w:r>
    </w:p>
    <w:p w14:paraId="198C434F" w14:textId="77777777" w:rsidR="000F3DE2" w:rsidRDefault="000F3DE2">
      <w:pPr>
        <w:jc w:val="both"/>
        <w:rPr>
          <w:rFonts w:ascii="Arial" w:hAnsi="Arial" w:cs="Arial"/>
          <w:sz w:val="22"/>
          <w:szCs w:val="22"/>
        </w:rPr>
      </w:pPr>
    </w:p>
    <w:p w14:paraId="34FEECDD" w14:textId="77777777" w:rsidR="000F3DE2" w:rsidRDefault="000F3D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</w:t>
      </w:r>
    </w:p>
    <w:p w14:paraId="32D1B8D9" w14:textId="77777777" w:rsidR="00973216" w:rsidRDefault="00973216">
      <w:pPr>
        <w:jc w:val="both"/>
        <w:rPr>
          <w:rFonts w:ascii="Arial" w:hAnsi="Arial" w:cs="Arial"/>
          <w:sz w:val="22"/>
          <w:szCs w:val="22"/>
        </w:rPr>
      </w:pPr>
    </w:p>
    <w:p w14:paraId="32AD1927" w14:textId="77777777" w:rsidR="000F3DE2" w:rsidRDefault="000F3D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Member, American Institute of Architects</w:t>
      </w:r>
    </w:p>
    <w:p w14:paraId="35AAA91D" w14:textId="77777777" w:rsidR="00973216" w:rsidRDefault="0097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Member, American Planning Association</w:t>
      </w:r>
    </w:p>
    <w:p w14:paraId="6F267CFF" w14:textId="77777777" w:rsidR="00973216" w:rsidRDefault="0097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Member, American Society of Interior Designers</w:t>
      </w:r>
    </w:p>
    <w:p w14:paraId="32963D12" w14:textId="77777777" w:rsidR="000F3DE2" w:rsidRDefault="0097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Member, United States Green Building Council</w:t>
      </w:r>
    </w:p>
    <w:p w14:paraId="48B1ADE3" w14:textId="77777777" w:rsidR="005E0745" w:rsidRDefault="005E0745">
      <w:pPr>
        <w:jc w:val="both"/>
        <w:rPr>
          <w:rFonts w:ascii="Arial" w:hAnsi="Arial" w:cs="Arial"/>
          <w:b/>
          <w:sz w:val="22"/>
          <w:szCs w:val="22"/>
        </w:rPr>
      </w:pPr>
    </w:p>
    <w:p w14:paraId="6368A8D7" w14:textId="77777777" w:rsidR="000F3DE2" w:rsidRDefault="000F3D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BUSINESS AND COMMUNITY</w:t>
      </w:r>
    </w:p>
    <w:p w14:paraId="412235F8" w14:textId="77777777" w:rsidR="00973216" w:rsidRDefault="00973216">
      <w:pPr>
        <w:jc w:val="both"/>
        <w:rPr>
          <w:rFonts w:ascii="Arial" w:hAnsi="Arial" w:cs="Arial"/>
          <w:sz w:val="22"/>
          <w:szCs w:val="22"/>
        </w:rPr>
      </w:pPr>
    </w:p>
    <w:p w14:paraId="587D3A38" w14:textId="570F8EAC" w:rsidR="00632A0D" w:rsidRDefault="00126D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Past </w:t>
      </w:r>
      <w:r w:rsidR="00632A0D">
        <w:rPr>
          <w:rFonts w:ascii="Arial" w:hAnsi="Arial" w:cs="Arial"/>
          <w:sz w:val="22"/>
          <w:szCs w:val="22"/>
        </w:rPr>
        <w:t>Vice President – American Institute of Architects Fort Lauderdale Chapter</w:t>
      </w:r>
    </w:p>
    <w:p w14:paraId="572F48FD" w14:textId="77777777" w:rsidR="008B5355" w:rsidRDefault="00C40A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Past </w:t>
      </w:r>
      <w:r w:rsidR="00973216">
        <w:rPr>
          <w:rFonts w:ascii="Arial" w:hAnsi="Arial" w:cs="Arial"/>
          <w:sz w:val="22"/>
          <w:szCs w:val="22"/>
        </w:rPr>
        <w:t>Chairman – City of Deerfield Beach Community Appearance Board</w:t>
      </w:r>
    </w:p>
    <w:p w14:paraId="4C0FF929" w14:textId="77777777" w:rsidR="00973216" w:rsidRDefault="0097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Architect – City of Deerfield Beach Commercial Façade Design Committee</w:t>
      </w:r>
    </w:p>
    <w:p w14:paraId="1BD67F46" w14:textId="77777777" w:rsidR="005E0745" w:rsidRDefault="005E0745" w:rsidP="005E07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Member, Chamber of Commerce – Deerfield Beach </w:t>
      </w:r>
    </w:p>
    <w:p w14:paraId="0EDD710E" w14:textId="0AE13414" w:rsidR="005E0745" w:rsidRDefault="005E0745" w:rsidP="005E07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Member, Chamber of Commerce - Davie/Cooper City</w:t>
      </w:r>
    </w:p>
    <w:p w14:paraId="7C97A3B3" w14:textId="1A2F88A5" w:rsidR="00126D04" w:rsidRDefault="00126D04" w:rsidP="005E07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Fellow, Society of Fellows – Nova Southeastern University </w:t>
      </w:r>
    </w:p>
    <w:p w14:paraId="6046EAA5" w14:textId="77777777" w:rsidR="00973216" w:rsidRPr="008B5355" w:rsidRDefault="00973216">
      <w:pPr>
        <w:jc w:val="both"/>
        <w:rPr>
          <w:rFonts w:ascii="Arial" w:hAnsi="Arial" w:cs="Arial"/>
          <w:sz w:val="22"/>
          <w:szCs w:val="22"/>
        </w:rPr>
      </w:pPr>
    </w:p>
    <w:p w14:paraId="1BA49D80" w14:textId="77777777" w:rsidR="000F3DE2" w:rsidRDefault="000F3D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ARCHITECTURAL</w:t>
      </w:r>
      <w:r w:rsidR="005E0745">
        <w:rPr>
          <w:rFonts w:ascii="Arial" w:hAnsi="Arial" w:cs="Arial"/>
          <w:b/>
          <w:sz w:val="22"/>
          <w:szCs w:val="22"/>
        </w:rPr>
        <w:t xml:space="preserve"> AND PROFESSIONAL </w:t>
      </w:r>
      <w:r>
        <w:rPr>
          <w:rFonts w:ascii="Arial" w:hAnsi="Arial" w:cs="Arial"/>
          <w:b/>
          <w:sz w:val="22"/>
          <w:szCs w:val="22"/>
        </w:rPr>
        <w:t>REGISTRATIONS</w:t>
      </w:r>
    </w:p>
    <w:p w14:paraId="153AFE03" w14:textId="77777777" w:rsidR="00973216" w:rsidRDefault="00973216">
      <w:pPr>
        <w:jc w:val="both"/>
        <w:rPr>
          <w:rFonts w:ascii="Arial" w:hAnsi="Arial" w:cs="Arial"/>
          <w:sz w:val="22"/>
          <w:szCs w:val="22"/>
        </w:rPr>
      </w:pPr>
    </w:p>
    <w:p w14:paraId="132F69A5" w14:textId="77777777" w:rsidR="000F3DE2" w:rsidRDefault="000F3D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Certificate Holder:  National Council of Architectural Registration Boards (NCARB) </w:t>
      </w:r>
    </w:p>
    <w:p w14:paraId="1CF4AD65" w14:textId="77777777" w:rsidR="000F3DE2" w:rsidRDefault="000F3D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Architect:  Florida</w:t>
      </w:r>
      <w:r w:rsidR="00973216">
        <w:rPr>
          <w:rFonts w:ascii="Arial" w:hAnsi="Arial" w:cs="Arial"/>
          <w:sz w:val="22"/>
          <w:szCs w:val="22"/>
        </w:rPr>
        <w:t xml:space="preserve"> AR00015474</w:t>
      </w:r>
    </w:p>
    <w:p w14:paraId="71ACB5FC" w14:textId="77777777" w:rsidR="00973216" w:rsidRDefault="0097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Interior Designer: Florida ID5284</w:t>
      </w:r>
    </w:p>
    <w:p w14:paraId="09CE6A87" w14:textId="77777777" w:rsidR="000F3DE2" w:rsidRDefault="0097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 Registration:  LEED AP</w:t>
      </w:r>
    </w:p>
    <w:p w14:paraId="4ED978C3" w14:textId="77777777" w:rsidR="008F250B" w:rsidRDefault="008F250B">
      <w:pPr>
        <w:jc w:val="both"/>
        <w:rPr>
          <w:rFonts w:ascii="Arial" w:hAnsi="Arial" w:cs="Arial"/>
          <w:b/>
          <w:sz w:val="22"/>
          <w:szCs w:val="22"/>
        </w:rPr>
      </w:pPr>
    </w:p>
    <w:p w14:paraId="07FAA1C4" w14:textId="77777777" w:rsidR="00834215" w:rsidRDefault="00834215" w:rsidP="00834215">
      <w:pPr>
        <w:pStyle w:val="Heading2"/>
      </w:pPr>
      <w:r>
        <w:t xml:space="preserve">EXPERT OPINIONS AND TESTIMONY </w:t>
      </w:r>
    </w:p>
    <w:p w14:paraId="351C9646" w14:textId="77777777" w:rsidR="00834215" w:rsidRDefault="00834215" w:rsidP="00834215"/>
    <w:p w14:paraId="24BDCC81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Advocates for the Disabled v. Great Oaks (On behalf of Great Oaks as Defendant)</w:t>
      </w:r>
    </w:p>
    <w:p w14:paraId="205B38DF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Site Survey</w:t>
      </w:r>
    </w:p>
    <w:p w14:paraId="66A18BD7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5E7EA639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Dispute Resolution</w:t>
      </w:r>
    </w:p>
    <w:p w14:paraId="3BBBC0DC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Corrective Design Measures</w:t>
      </w:r>
    </w:p>
    <w:p w14:paraId="2CE27DD5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As-Built Condition Review</w:t>
      </w:r>
    </w:p>
    <w:p w14:paraId="080219EB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53A8EF10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Advocates for the Disabled v. Heritage Trust (On behalf of Heritage Trust as Defendant)</w:t>
      </w:r>
    </w:p>
    <w:p w14:paraId="12E8167A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Site Survey</w:t>
      </w:r>
    </w:p>
    <w:p w14:paraId="6CB2FBBE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2970956C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Dispute Resolution</w:t>
      </w:r>
    </w:p>
    <w:p w14:paraId="5F210B34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Corrective Design Measures</w:t>
      </w:r>
    </w:p>
    <w:p w14:paraId="11B7A1DC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As-Built Condition Review</w:t>
      </w:r>
    </w:p>
    <w:p w14:paraId="4CC931D7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5D89D26E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Advocates for the Disabled v. Bay Harbor Inn/Johnson &amp; Wales University (On behalf of JWU as Defendant)</w:t>
      </w:r>
    </w:p>
    <w:p w14:paraId="0B5AB130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Site Survey</w:t>
      </w:r>
    </w:p>
    <w:p w14:paraId="314C2F24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52B95477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Dispute Resolution</w:t>
      </w:r>
    </w:p>
    <w:p w14:paraId="2AEA31A6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Corrective Design Measures</w:t>
      </w:r>
    </w:p>
    <w:p w14:paraId="757F6DAA" w14:textId="77777777" w:rsid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As-Built Condition Review</w:t>
      </w:r>
    </w:p>
    <w:p w14:paraId="349F1416" w14:textId="77777777" w:rsidR="000875AC" w:rsidRPr="00834215" w:rsidRDefault="000875AC" w:rsidP="00834215">
      <w:pPr>
        <w:ind w:firstLine="720"/>
        <w:rPr>
          <w:rFonts w:ascii="Arial" w:hAnsi="Arial" w:cs="Arial"/>
          <w:sz w:val="20"/>
        </w:rPr>
      </w:pPr>
    </w:p>
    <w:p w14:paraId="55D2573F" w14:textId="2C99DE2F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 xml:space="preserve">Advocates for the Disabled v. Sheridan Yankee Trader/Gill Hotels (On behalf of Gill Hotels as </w:t>
      </w:r>
      <w:r w:rsidR="000875AC">
        <w:rPr>
          <w:rFonts w:ascii="Arial" w:hAnsi="Arial" w:cs="Arial"/>
          <w:b/>
          <w:sz w:val="20"/>
        </w:rPr>
        <w:t>D</w:t>
      </w:r>
      <w:r w:rsidRPr="00834215">
        <w:rPr>
          <w:rFonts w:ascii="Arial" w:hAnsi="Arial" w:cs="Arial"/>
          <w:b/>
          <w:sz w:val="20"/>
        </w:rPr>
        <w:t>efendant)</w:t>
      </w:r>
    </w:p>
    <w:p w14:paraId="016A0221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Site Survey</w:t>
      </w:r>
    </w:p>
    <w:p w14:paraId="5AE0513A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6A990279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Dispute Resolution</w:t>
      </w:r>
    </w:p>
    <w:p w14:paraId="0B00D08D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Corrective Design Measures</w:t>
      </w:r>
    </w:p>
    <w:p w14:paraId="394D569D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As-Built Condition Review</w:t>
      </w:r>
    </w:p>
    <w:p w14:paraId="67009103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1BC800FA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Advocates for the Disabled v. Sheridan Yankee Clipper/Gill Hotels (On behalf of Sheridan Clipper/Gill Hotels as Defendant)</w:t>
      </w:r>
    </w:p>
    <w:p w14:paraId="62DA24F9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Site Survey</w:t>
      </w:r>
    </w:p>
    <w:p w14:paraId="65C96076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7986804E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Dispute Resolution</w:t>
      </w:r>
    </w:p>
    <w:p w14:paraId="37F530B0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Corrective Design Measures</w:t>
      </w:r>
    </w:p>
    <w:p w14:paraId="5459AF9F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As-Built Condition Review</w:t>
      </w:r>
    </w:p>
    <w:p w14:paraId="0FB33EE1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</w:p>
    <w:p w14:paraId="6A800897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Advocates fo</w:t>
      </w:r>
      <w:r>
        <w:rPr>
          <w:rFonts w:ascii="Arial" w:hAnsi="Arial" w:cs="Arial"/>
          <w:b/>
          <w:sz w:val="20"/>
        </w:rPr>
        <w:t>r the Disabled v. Crestwood Squa</w:t>
      </w:r>
      <w:r w:rsidRPr="00834215">
        <w:rPr>
          <w:rFonts w:ascii="Arial" w:hAnsi="Arial" w:cs="Arial"/>
          <w:b/>
          <w:sz w:val="20"/>
        </w:rPr>
        <w:t xml:space="preserve">re, LLC (On behalf of Southeast Centers, LLC as Defendant) </w:t>
      </w:r>
    </w:p>
    <w:p w14:paraId="4CD6744D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5A3899F1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Dispute Resolution</w:t>
      </w:r>
    </w:p>
    <w:p w14:paraId="4876A8F0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Corrective Design Measures</w:t>
      </w:r>
    </w:p>
    <w:p w14:paraId="0B3BD8BB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As-Built Condition Review</w:t>
      </w:r>
    </w:p>
    <w:p w14:paraId="11F633BC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2D2B76CF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 xml:space="preserve">Advocates for the Disabled v. Plantation Promenade, LLC (On behalf of Southeast Centers, LLC as Defendant) </w:t>
      </w:r>
    </w:p>
    <w:p w14:paraId="7779AFEC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 xml:space="preserve">            Site Survey</w:t>
      </w:r>
    </w:p>
    <w:p w14:paraId="125EF0F1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5F4DF8EF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Dispute Resolution</w:t>
      </w:r>
    </w:p>
    <w:p w14:paraId="4D53C92E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Corrective Design Measures</w:t>
      </w:r>
    </w:p>
    <w:p w14:paraId="2259DA2E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As-Built Condition Review</w:t>
      </w:r>
    </w:p>
    <w:p w14:paraId="6C13E2D6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51F21A8F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Boemermann v. Hopps Restaurant (On behalf of Hopps Restaurant as Defendant)</w:t>
      </w:r>
    </w:p>
    <w:p w14:paraId="4FF1D2AA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Site Survey</w:t>
      </w:r>
    </w:p>
    <w:p w14:paraId="0B2BA11F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23D0E22D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Dispute Resolution</w:t>
      </w:r>
    </w:p>
    <w:p w14:paraId="1F81AFDE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Corrective Design Measures</w:t>
      </w:r>
    </w:p>
    <w:p w14:paraId="4D44911E" w14:textId="77777777" w:rsidR="00834215" w:rsidRPr="00834215" w:rsidRDefault="00834215" w:rsidP="00834215">
      <w:pPr>
        <w:rPr>
          <w:rFonts w:ascii="Arial" w:hAnsi="Arial" w:cs="Arial"/>
          <w:bCs/>
          <w:iCs/>
          <w:sz w:val="20"/>
        </w:rPr>
      </w:pPr>
    </w:p>
    <w:p w14:paraId="5A8011F3" w14:textId="77777777" w:rsidR="00834215" w:rsidRPr="00834215" w:rsidRDefault="00834215" w:rsidP="00834215">
      <w:pPr>
        <w:rPr>
          <w:rFonts w:ascii="Arial" w:hAnsi="Arial" w:cs="Arial"/>
          <w:b/>
          <w:bCs/>
          <w:iCs/>
          <w:sz w:val="20"/>
        </w:rPr>
      </w:pPr>
      <w:r w:rsidRPr="00834215">
        <w:rPr>
          <w:rFonts w:ascii="Arial" w:hAnsi="Arial" w:cs="Arial"/>
          <w:b/>
          <w:bCs/>
          <w:iCs/>
          <w:sz w:val="20"/>
        </w:rPr>
        <w:t>Free v. Konover &amp; Associates South, Inc. v. Siciliano Enterprises, Inc (On behalf of Konover &amp; Associates South, Inc. as Defendant)</w:t>
      </w:r>
    </w:p>
    <w:p w14:paraId="7E3D8040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Site Survey</w:t>
      </w:r>
    </w:p>
    <w:p w14:paraId="186E0373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4F871158" w14:textId="77777777" w:rsidR="00834215" w:rsidRPr="00834215" w:rsidRDefault="00834215" w:rsidP="00834215">
      <w:pPr>
        <w:ind w:firstLine="720"/>
        <w:rPr>
          <w:rFonts w:ascii="Arial" w:hAnsi="Arial" w:cs="Arial"/>
          <w:bCs/>
          <w:iCs/>
          <w:sz w:val="20"/>
        </w:rPr>
      </w:pPr>
      <w:r w:rsidRPr="00834215">
        <w:rPr>
          <w:rFonts w:ascii="Arial" w:hAnsi="Arial" w:cs="Arial"/>
          <w:sz w:val="20"/>
        </w:rPr>
        <w:t>Deposition</w:t>
      </w:r>
    </w:p>
    <w:p w14:paraId="0BB12A26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26AAAABB" w14:textId="77777777" w:rsidR="00834215" w:rsidRPr="00834215" w:rsidRDefault="00834215" w:rsidP="00834215">
      <w:pPr>
        <w:rPr>
          <w:rFonts w:ascii="Arial" w:hAnsi="Arial" w:cs="Arial"/>
          <w:b/>
          <w:bCs/>
          <w:iCs/>
          <w:sz w:val="20"/>
        </w:rPr>
      </w:pPr>
      <w:r w:rsidRPr="00834215">
        <w:rPr>
          <w:rFonts w:ascii="Arial" w:hAnsi="Arial" w:cs="Arial"/>
          <w:b/>
          <w:sz w:val="20"/>
        </w:rPr>
        <w:t xml:space="preserve">Richards v. City of Juno Beach &amp; </w:t>
      </w:r>
      <w:r w:rsidRPr="00834215">
        <w:rPr>
          <w:rFonts w:ascii="Arial" w:hAnsi="Arial" w:cs="Arial"/>
          <w:b/>
          <w:bCs/>
          <w:iCs/>
          <w:sz w:val="20"/>
        </w:rPr>
        <w:t>Palm Beach County (On behalf of the City of Juno Beach &amp; Palm Beach County as Defendant)</w:t>
      </w:r>
    </w:p>
    <w:p w14:paraId="7C6480E0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Site Survey</w:t>
      </w:r>
    </w:p>
    <w:p w14:paraId="36B11360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Expert Opinion</w:t>
      </w:r>
    </w:p>
    <w:p w14:paraId="42412969" w14:textId="77777777" w:rsidR="00834215" w:rsidRPr="00834215" w:rsidRDefault="00834215" w:rsidP="00834215">
      <w:pPr>
        <w:ind w:firstLine="720"/>
        <w:rPr>
          <w:rFonts w:ascii="Arial" w:hAnsi="Arial" w:cs="Arial"/>
          <w:bCs/>
          <w:iCs/>
          <w:sz w:val="20"/>
        </w:rPr>
      </w:pPr>
      <w:r w:rsidRPr="00834215">
        <w:rPr>
          <w:rFonts w:ascii="Arial" w:hAnsi="Arial" w:cs="Arial"/>
          <w:sz w:val="20"/>
        </w:rPr>
        <w:t>Deposition</w:t>
      </w:r>
    </w:p>
    <w:p w14:paraId="58DE6B53" w14:textId="77777777" w:rsidR="00834215" w:rsidRPr="00834215" w:rsidRDefault="00834215" w:rsidP="00834215">
      <w:pPr>
        <w:rPr>
          <w:rFonts w:ascii="Arial" w:hAnsi="Arial" w:cs="Arial"/>
          <w:bCs/>
          <w:iCs/>
          <w:sz w:val="20"/>
        </w:rPr>
      </w:pPr>
    </w:p>
    <w:p w14:paraId="67C8223F" w14:textId="77777777" w:rsidR="00834215" w:rsidRPr="00834215" w:rsidRDefault="00834215" w:rsidP="00834215">
      <w:pPr>
        <w:rPr>
          <w:rFonts w:ascii="Arial" w:hAnsi="Arial" w:cs="Arial"/>
          <w:b/>
          <w:bCs/>
          <w:iCs/>
          <w:sz w:val="20"/>
        </w:rPr>
      </w:pPr>
      <w:r w:rsidRPr="00834215">
        <w:rPr>
          <w:rFonts w:ascii="Arial" w:hAnsi="Arial" w:cs="Arial"/>
          <w:b/>
          <w:bCs/>
          <w:iCs/>
          <w:sz w:val="20"/>
        </w:rPr>
        <w:t>Troik v. Outback Steakhouse (On behalf of Outback Steakhouse as Defendant)</w:t>
      </w:r>
    </w:p>
    <w:p w14:paraId="03D6B597" w14:textId="77777777" w:rsidR="00834215" w:rsidRPr="00834215" w:rsidRDefault="00834215" w:rsidP="00834215">
      <w:pPr>
        <w:rPr>
          <w:rFonts w:ascii="Arial" w:hAnsi="Arial" w:cs="Arial"/>
          <w:bCs/>
          <w:iCs/>
          <w:sz w:val="20"/>
        </w:rPr>
      </w:pPr>
      <w:r w:rsidRPr="00834215">
        <w:rPr>
          <w:rFonts w:ascii="Arial" w:hAnsi="Arial" w:cs="Arial"/>
          <w:bCs/>
          <w:iCs/>
          <w:sz w:val="20"/>
        </w:rPr>
        <w:tab/>
        <w:t>Site Survey</w:t>
      </w:r>
    </w:p>
    <w:p w14:paraId="5F010824" w14:textId="77777777" w:rsidR="00834215" w:rsidRPr="00834215" w:rsidRDefault="00834215" w:rsidP="00834215">
      <w:pPr>
        <w:ind w:firstLine="720"/>
        <w:rPr>
          <w:rFonts w:ascii="Arial" w:hAnsi="Arial" w:cs="Arial"/>
          <w:bCs/>
          <w:iCs/>
          <w:sz w:val="20"/>
        </w:rPr>
      </w:pPr>
      <w:r w:rsidRPr="00834215">
        <w:rPr>
          <w:rFonts w:ascii="Arial" w:hAnsi="Arial" w:cs="Arial"/>
          <w:bCs/>
          <w:iCs/>
          <w:sz w:val="20"/>
        </w:rPr>
        <w:t>Expert Opinion</w:t>
      </w:r>
    </w:p>
    <w:p w14:paraId="45A24650" w14:textId="77777777" w:rsidR="00834215" w:rsidRPr="00834215" w:rsidRDefault="00834215" w:rsidP="00834215">
      <w:pPr>
        <w:rPr>
          <w:rFonts w:ascii="Arial" w:hAnsi="Arial" w:cs="Arial"/>
          <w:bCs/>
          <w:iCs/>
          <w:sz w:val="20"/>
        </w:rPr>
      </w:pPr>
    </w:p>
    <w:p w14:paraId="7D7040DA" w14:textId="77777777" w:rsidR="00834215" w:rsidRPr="00834215" w:rsidRDefault="00834215" w:rsidP="00834215">
      <w:pPr>
        <w:rPr>
          <w:rFonts w:ascii="Arial" w:hAnsi="Arial" w:cs="Arial"/>
          <w:bCs/>
          <w:iCs/>
          <w:sz w:val="20"/>
        </w:rPr>
      </w:pPr>
      <w:r w:rsidRPr="00834215">
        <w:rPr>
          <w:rFonts w:ascii="Arial" w:hAnsi="Arial" w:cs="Arial"/>
          <w:b/>
          <w:bCs/>
          <w:iCs/>
          <w:sz w:val="20"/>
        </w:rPr>
        <w:t>Weisman vs. Outback Steakhouse (On behalf of Outback Steakhouse as Defendant</w:t>
      </w:r>
      <w:r w:rsidRPr="00834215">
        <w:rPr>
          <w:rFonts w:ascii="Arial" w:hAnsi="Arial" w:cs="Arial"/>
          <w:bCs/>
          <w:iCs/>
          <w:sz w:val="20"/>
        </w:rPr>
        <w:t>)</w:t>
      </w:r>
    </w:p>
    <w:p w14:paraId="5674EA93" w14:textId="77777777" w:rsidR="00834215" w:rsidRPr="00834215" w:rsidRDefault="00834215" w:rsidP="00834215">
      <w:pPr>
        <w:rPr>
          <w:rFonts w:ascii="Arial" w:hAnsi="Arial" w:cs="Arial"/>
          <w:bCs/>
          <w:iCs/>
          <w:sz w:val="20"/>
        </w:rPr>
      </w:pPr>
      <w:r w:rsidRPr="00834215">
        <w:rPr>
          <w:rFonts w:ascii="Arial" w:hAnsi="Arial" w:cs="Arial"/>
          <w:bCs/>
          <w:iCs/>
          <w:sz w:val="20"/>
        </w:rPr>
        <w:tab/>
        <w:t>Site Survey</w:t>
      </w:r>
    </w:p>
    <w:p w14:paraId="5E57DB26" w14:textId="77777777" w:rsidR="00834215" w:rsidRPr="00834215" w:rsidRDefault="00834215" w:rsidP="00834215">
      <w:pPr>
        <w:ind w:firstLine="720"/>
        <w:rPr>
          <w:rFonts w:ascii="Arial" w:hAnsi="Arial" w:cs="Arial"/>
          <w:bCs/>
          <w:iCs/>
          <w:sz w:val="20"/>
        </w:rPr>
      </w:pPr>
      <w:r w:rsidRPr="00834215">
        <w:rPr>
          <w:rFonts w:ascii="Arial" w:hAnsi="Arial" w:cs="Arial"/>
          <w:bCs/>
          <w:iCs/>
          <w:sz w:val="20"/>
        </w:rPr>
        <w:t>Expert Opinion</w:t>
      </w:r>
    </w:p>
    <w:p w14:paraId="6B7F2129" w14:textId="77777777" w:rsidR="00834215" w:rsidRPr="00834215" w:rsidRDefault="00834215" w:rsidP="00834215">
      <w:pPr>
        <w:rPr>
          <w:rFonts w:ascii="Arial" w:hAnsi="Arial" w:cs="Arial"/>
          <w:b/>
          <w:bCs/>
          <w:i/>
          <w:iCs/>
          <w:sz w:val="20"/>
        </w:rPr>
      </w:pPr>
    </w:p>
    <w:p w14:paraId="0728125E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John Knox Village v. Bluewater Builders (On behalf of John Knox Village as Plaintiff) – Settled via Mediation Pompano Beach, FL – Case Settled</w:t>
      </w:r>
    </w:p>
    <w:p w14:paraId="275545FD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Assist with Review of Documents</w:t>
      </w:r>
    </w:p>
    <w:p w14:paraId="0D6ACA56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Assist with Review of Depositions</w:t>
      </w:r>
    </w:p>
    <w:p w14:paraId="54E10D66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Assist with Review of Expert Reports</w:t>
      </w:r>
    </w:p>
    <w:p w14:paraId="58CBD8D2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</w:r>
    </w:p>
    <w:p w14:paraId="1F49D72B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Villas of Timberline Parc v. Timberline Parc Development (On behalf of Villas of Timberline Parc Condominium Association – Plaintiff) – Case Settled</w:t>
      </w:r>
    </w:p>
    <w:p w14:paraId="6ED04F28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Assist with Review of Documents and Depositions</w:t>
      </w:r>
    </w:p>
    <w:p w14:paraId="487996C2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Assist with Review of Expert Reports</w:t>
      </w:r>
    </w:p>
    <w:p w14:paraId="7B997999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Assist with Expert Opinion Report</w:t>
      </w:r>
    </w:p>
    <w:p w14:paraId="49DADCB7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6C523550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28D4404A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The Grande Reserve Condominium Association v. Julian LeCraw &amp; Company Holdings, Inc. – Case Settled via Mediation</w:t>
      </w:r>
    </w:p>
    <w:p w14:paraId="71B32508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Performed Site Visits</w:t>
      </w:r>
    </w:p>
    <w:p w14:paraId="00A08F0F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of Depositions</w:t>
      </w:r>
    </w:p>
    <w:p w14:paraId="2A9CDC56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5EBD9753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Opinion Report</w:t>
      </w:r>
    </w:p>
    <w:p w14:paraId="2A632674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Deposition</w:t>
      </w:r>
    </w:p>
    <w:p w14:paraId="38C70376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45DC9F1B" w14:textId="77777777" w:rsidR="00834215" w:rsidRPr="00834215" w:rsidRDefault="000875AC" w:rsidP="0083421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Chen vs. Michael Neil, Inc. – Case Settled</w:t>
      </w:r>
    </w:p>
    <w:p w14:paraId="3BD0B576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Performed Site Visits</w:t>
      </w:r>
    </w:p>
    <w:p w14:paraId="50CE43DC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of Depositions</w:t>
      </w:r>
    </w:p>
    <w:p w14:paraId="140E4084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01CDC985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Opinion Report</w:t>
      </w:r>
    </w:p>
    <w:p w14:paraId="4EB8A452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</w:r>
      <w:r w:rsidRPr="00834215">
        <w:rPr>
          <w:rFonts w:ascii="Arial" w:hAnsi="Arial" w:cs="Arial"/>
          <w:sz w:val="20"/>
        </w:rPr>
        <w:tab/>
      </w:r>
    </w:p>
    <w:p w14:paraId="1C84AFB1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>US Ornamental Iron Works vs. Florida Department of Transportation – Case Settled</w:t>
      </w:r>
    </w:p>
    <w:p w14:paraId="2954D1E0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Performed Site Visits</w:t>
      </w:r>
    </w:p>
    <w:p w14:paraId="3604372C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and Attendance of Depositions</w:t>
      </w:r>
    </w:p>
    <w:p w14:paraId="5AC560AF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611B0146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Opinion Report</w:t>
      </w:r>
    </w:p>
    <w:p w14:paraId="640CC341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58AB72DF" w14:textId="31DAA526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 xml:space="preserve">Villa Medici Condominium Association vs. Courtney Gate Parkway, LLC – </w:t>
      </w:r>
      <w:r w:rsidR="00A56592">
        <w:rPr>
          <w:rFonts w:ascii="Arial" w:hAnsi="Arial" w:cs="Arial"/>
          <w:b/>
          <w:sz w:val="20"/>
        </w:rPr>
        <w:t>Case Settled</w:t>
      </w:r>
    </w:p>
    <w:p w14:paraId="4462C22F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Performed Site Visits</w:t>
      </w:r>
    </w:p>
    <w:p w14:paraId="1BC05181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and Attendance of Depositions</w:t>
      </w:r>
    </w:p>
    <w:p w14:paraId="3C037FD4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6D4BCA2B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Opinion Report</w:t>
      </w:r>
    </w:p>
    <w:p w14:paraId="0F97D1E1" w14:textId="77777777" w:rsidR="00834215" w:rsidRPr="00834215" w:rsidRDefault="00834215" w:rsidP="00834215">
      <w:pPr>
        <w:rPr>
          <w:rFonts w:ascii="Arial" w:hAnsi="Arial" w:cs="Arial"/>
          <w:sz w:val="20"/>
        </w:rPr>
      </w:pPr>
    </w:p>
    <w:p w14:paraId="4E5B5AC3" w14:textId="77777777" w:rsidR="00834215" w:rsidRPr="00834215" w:rsidRDefault="00834215" w:rsidP="00834215">
      <w:pPr>
        <w:rPr>
          <w:rFonts w:ascii="Arial" w:hAnsi="Arial" w:cs="Arial"/>
          <w:b/>
          <w:sz w:val="20"/>
        </w:rPr>
      </w:pPr>
      <w:r w:rsidRPr="00834215">
        <w:rPr>
          <w:rFonts w:ascii="Arial" w:hAnsi="Arial" w:cs="Arial"/>
          <w:b/>
          <w:sz w:val="20"/>
        </w:rPr>
        <w:t xml:space="preserve">Ocean Club v. Garcia Stromberg Architects – </w:t>
      </w:r>
      <w:r w:rsidR="00082B65">
        <w:rPr>
          <w:rFonts w:ascii="Arial" w:hAnsi="Arial" w:cs="Arial"/>
          <w:b/>
          <w:sz w:val="20"/>
        </w:rPr>
        <w:t>Case Settled</w:t>
      </w:r>
    </w:p>
    <w:p w14:paraId="21B5C342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Performed Site Visits</w:t>
      </w:r>
    </w:p>
    <w:p w14:paraId="55107B57" w14:textId="77777777" w:rsidR="00834215" w:rsidRPr="00834215" w:rsidRDefault="00834215" w:rsidP="0083421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and Attendance of Depositions</w:t>
      </w:r>
    </w:p>
    <w:p w14:paraId="74589391" w14:textId="77777777" w:rsidR="00834215" w:rsidRP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05220F26" w14:textId="77777777" w:rsidR="00834215" w:rsidRDefault="00834215" w:rsidP="0083421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Opinion Report</w:t>
      </w:r>
    </w:p>
    <w:p w14:paraId="06ABE6D2" w14:textId="77777777" w:rsidR="000875AC" w:rsidRDefault="000875AC" w:rsidP="00834215">
      <w:pPr>
        <w:rPr>
          <w:rFonts w:ascii="Arial" w:hAnsi="Arial" w:cs="Arial"/>
          <w:sz w:val="20"/>
        </w:rPr>
      </w:pPr>
    </w:p>
    <w:p w14:paraId="0BC2BABE" w14:textId="5C21F76E" w:rsidR="000875AC" w:rsidRPr="000875AC" w:rsidRDefault="000875AC" w:rsidP="00834215">
      <w:pPr>
        <w:rPr>
          <w:rFonts w:ascii="Arial" w:hAnsi="Arial" w:cs="Arial"/>
          <w:b/>
          <w:sz w:val="20"/>
        </w:rPr>
      </w:pPr>
      <w:r w:rsidRPr="000875AC">
        <w:rPr>
          <w:rFonts w:ascii="Arial" w:hAnsi="Arial" w:cs="Arial"/>
          <w:b/>
          <w:sz w:val="20"/>
        </w:rPr>
        <w:t xml:space="preserve">Escambia County Utilities Authority v. AE NEW </w:t>
      </w:r>
      <w:r>
        <w:rPr>
          <w:rFonts w:ascii="Arial" w:hAnsi="Arial" w:cs="Arial"/>
          <w:b/>
          <w:sz w:val="20"/>
        </w:rPr>
        <w:t xml:space="preserve">– </w:t>
      </w:r>
      <w:r w:rsidR="00A56592">
        <w:rPr>
          <w:rFonts w:ascii="Arial" w:hAnsi="Arial" w:cs="Arial"/>
          <w:b/>
          <w:sz w:val="20"/>
        </w:rPr>
        <w:t>Case Settled</w:t>
      </w:r>
    </w:p>
    <w:p w14:paraId="4882C432" w14:textId="77777777" w:rsidR="000875AC" w:rsidRPr="00834215" w:rsidRDefault="000875AC" w:rsidP="000875AC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Performed Site Visits</w:t>
      </w:r>
    </w:p>
    <w:p w14:paraId="5BAD7C57" w14:textId="77777777" w:rsidR="000875AC" w:rsidRPr="00834215" w:rsidRDefault="000875AC" w:rsidP="000875AC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and Attendance of Depositions</w:t>
      </w:r>
    </w:p>
    <w:p w14:paraId="29880F11" w14:textId="77777777" w:rsidR="000875AC" w:rsidRPr="00834215" w:rsidRDefault="000875AC" w:rsidP="000875AC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63B6C382" w14:textId="77777777" w:rsidR="000875AC" w:rsidRDefault="000875AC" w:rsidP="000875AC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Opinion Report</w:t>
      </w:r>
    </w:p>
    <w:p w14:paraId="7577453D" w14:textId="77777777" w:rsidR="00082B65" w:rsidRDefault="00082B65" w:rsidP="000875AC">
      <w:pPr>
        <w:rPr>
          <w:rFonts w:ascii="Arial" w:hAnsi="Arial" w:cs="Arial"/>
          <w:sz w:val="20"/>
        </w:rPr>
      </w:pPr>
    </w:p>
    <w:p w14:paraId="7BA82E64" w14:textId="77777777" w:rsidR="00082B65" w:rsidRDefault="00082B65" w:rsidP="000875AC">
      <w:pPr>
        <w:rPr>
          <w:rFonts w:ascii="Arial" w:hAnsi="Arial" w:cs="Arial"/>
          <w:sz w:val="20"/>
        </w:rPr>
      </w:pPr>
    </w:p>
    <w:p w14:paraId="7E08AEA1" w14:textId="1CD6E914" w:rsidR="00082B65" w:rsidRPr="00A56592" w:rsidRDefault="00082B65" w:rsidP="00082B65">
      <w:pPr>
        <w:rPr>
          <w:rFonts w:ascii="Arial" w:hAnsi="Arial" w:cs="Arial"/>
          <w:b/>
          <w:iCs/>
          <w:sz w:val="20"/>
        </w:rPr>
      </w:pPr>
      <w:r w:rsidRPr="00A56592">
        <w:rPr>
          <w:rFonts w:ascii="Arial" w:hAnsi="Arial" w:cs="Arial"/>
          <w:b/>
          <w:iCs/>
          <w:sz w:val="20"/>
        </w:rPr>
        <w:t xml:space="preserve">Osceola Brownstones Condominium Association, Inc. v. Andrew Construction Services, LLC. – </w:t>
      </w:r>
      <w:r w:rsidR="00A56592">
        <w:rPr>
          <w:rFonts w:ascii="Arial" w:hAnsi="Arial" w:cs="Arial"/>
          <w:b/>
          <w:iCs/>
          <w:sz w:val="20"/>
        </w:rPr>
        <w:t>Case Settled</w:t>
      </w:r>
    </w:p>
    <w:p w14:paraId="2E2063E1" w14:textId="77777777" w:rsidR="00082B65" w:rsidRPr="00834215" w:rsidRDefault="00082B65" w:rsidP="00082B6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Performed Site Visits</w:t>
      </w:r>
    </w:p>
    <w:p w14:paraId="2BA47F4A" w14:textId="77777777" w:rsidR="00082B65" w:rsidRPr="00834215" w:rsidRDefault="00082B65" w:rsidP="00082B65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and Attendance of Depositions</w:t>
      </w:r>
    </w:p>
    <w:p w14:paraId="60B3F779" w14:textId="77777777" w:rsidR="00082B65" w:rsidRPr="00834215" w:rsidRDefault="00082B65" w:rsidP="00082B6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7329C2A2" w14:textId="0AF8B348" w:rsidR="00082B65" w:rsidRDefault="00082B65" w:rsidP="00082B65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Opinion Report</w:t>
      </w:r>
    </w:p>
    <w:p w14:paraId="02028011" w14:textId="34F7B46A" w:rsidR="00A572A5" w:rsidRDefault="00A572A5" w:rsidP="00082B65">
      <w:pPr>
        <w:rPr>
          <w:rFonts w:ascii="Arial" w:hAnsi="Arial" w:cs="Arial"/>
          <w:sz w:val="20"/>
        </w:rPr>
      </w:pPr>
    </w:p>
    <w:p w14:paraId="1E8BCA22" w14:textId="3F1AEAB7" w:rsidR="00A572A5" w:rsidRPr="00A56592" w:rsidRDefault="00A572A5" w:rsidP="00A572A5">
      <w:pPr>
        <w:rPr>
          <w:rFonts w:ascii="Trebuchet MS" w:hAnsi="Trebuchet MS"/>
          <w:b/>
          <w:color w:val="404040" w:themeColor="text1" w:themeTint="BF"/>
          <w:sz w:val="20"/>
        </w:rPr>
      </w:pPr>
      <w:r w:rsidRPr="00A56592">
        <w:rPr>
          <w:rFonts w:ascii="Trebuchet MS" w:hAnsi="Trebuchet MS"/>
          <w:b/>
          <w:color w:val="404040" w:themeColor="text1" w:themeTint="BF"/>
          <w:sz w:val="20"/>
        </w:rPr>
        <w:t xml:space="preserve">The Edge Condominium Association, Inc. No. 1 v. The Edge </w:t>
      </w:r>
      <w:r w:rsidR="00126D04" w:rsidRPr="00A56592">
        <w:rPr>
          <w:rFonts w:ascii="Trebuchet MS" w:hAnsi="Trebuchet MS"/>
          <w:b/>
          <w:color w:val="404040" w:themeColor="text1" w:themeTint="BF"/>
          <w:sz w:val="20"/>
        </w:rPr>
        <w:t>I</w:t>
      </w:r>
      <w:r w:rsidRPr="00A56592">
        <w:rPr>
          <w:rFonts w:ascii="Trebuchet MS" w:hAnsi="Trebuchet MS"/>
          <w:b/>
          <w:color w:val="404040" w:themeColor="text1" w:themeTint="BF"/>
          <w:sz w:val="20"/>
        </w:rPr>
        <w:t>nvestor</w:t>
      </w:r>
      <w:r w:rsidR="00126D04" w:rsidRPr="00A56592">
        <w:rPr>
          <w:rFonts w:ascii="Trebuchet MS" w:hAnsi="Trebuchet MS"/>
          <w:b/>
          <w:color w:val="404040" w:themeColor="text1" w:themeTint="BF"/>
          <w:sz w:val="20"/>
        </w:rPr>
        <w:t>s</w:t>
      </w:r>
      <w:r w:rsidRPr="00A56592">
        <w:rPr>
          <w:rFonts w:ascii="Trebuchet MS" w:hAnsi="Trebuchet MS"/>
          <w:b/>
          <w:color w:val="404040" w:themeColor="text1" w:themeTint="BF"/>
          <w:sz w:val="20"/>
        </w:rPr>
        <w:t>, LP</w:t>
      </w:r>
      <w:r w:rsidR="00126D04" w:rsidRPr="00A56592">
        <w:rPr>
          <w:rFonts w:ascii="Trebuchet MS" w:hAnsi="Trebuchet MS"/>
          <w:b/>
          <w:color w:val="404040" w:themeColor="text1" w:themeTint="BF"/>
          <w:sz w:val="20"/>
        </w:rPr>
        <w:t xml:space="preserve"> </w:t>
      </w:r>
      <w:r w:rsidR="00126D04" w:rsidRPr="00A56592">
        <w:rPr>
          <w:rFonts w:ascii="Arial" w:hAnsi="Arial" w:cs="Arial"/>
          <w:b/>
          <w:sz w:val="20"/>
        </w:rPr>
        <w:t xml:space="preserve">– </w:t>
      </w:r>
      <w:r w:rsidR="00A56592">
        <w:rPr>
          <w:rFonts w:ascii="Arial" w:hAnsi="Arial" w:cs="Arial"/>
          <w:b/>
          <w:sz w:val="20"/>
        </w:rPr>
        <w:t>Case Settled</w:t>
      </w:r>
    </w:p>
    <w:p w14:paraId="3059C92A" w14:textId="77777777" w:rsidR="00126D04" w:rsidRPr="00834215" w:rsidRDefault="00126D04" w:rsidP="00126D04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Performed Site Visits</w:t>
      </w:r>
    </w:p>
    <w:p w14:paraId="7F871AE2" w14:textId="77777777" w:rsidR="00126D04" w:rsidRPr="00834215" w:rsidRDefault="00126D04" w:rsidP="00126D04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and Attendance of Depositions</w:t>
      </w:r>
    </w:p>
    <w:p w14:paraId="7D1F4D01" w14:textId="77777777" w:rsidR="00126D04" w:rsidRPr="00834215" w:rsidRDefault="00126D04" w:rsidP="00126D04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34DA17C6" w14:textId="77777777" w:rsidR="00126D04" w:rsidRDefault="00126D04" w:rsidP="00126D04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Expert Opinion Report</w:t>
      </w:r>
    </w:p>
    <w:p w14:paraId="0077F6C8" w14:textId="77777777" w:rsidR="00126D04" w:rsidRDefault="00126D04" w:rsidP="00126D04">
      <w:pPr>
        <w:rPr>
          <w:rFonts w:ascii="Trebuchet MS" w:hAnsi="Trebuchet MS"/>
          <w:b/>
          <w:i/>
          <w:iCs/>
          <w:color w:val="404040" w:themeColor="text1" w:themeTint="BF"/>
          <w:sz w:val="20"/>
        </w:rPr>
      </w:pPr>
    </w:p>
    <w:p w14:paraId="242B4F64" w14:textId="355A4E81" w:rsidR="00126D04" w:rsidRPr="00A56592" w:rsidRDefault="00126D04" w:rsidP="00126D04">
      <w:pPr>
        <w:rPr>
          <w:rFonts w:ascii="Trebuchet MS" w:hAnsi="Trebuchet MS"/>
          <w:b/>
          <w:sz w:val="20"/>
        </w:rPr>
      </w:pPr>
      <w:r w:rsidRPr="00A56592">
        <w:rPr>
          <w:rFonts w:ascii="Trebuchet MS" w:hAnsi="Trebuchet MS"/>
          <w:b/>
          <w:sz w:val="20"/>
        </w:rPr>
        <w:t xml:space="preserve">The Edge Condominium Association, Inc. Master Association v. The Edge Investors, LP </w:t>
      </w:r>
      <w:r w:rsidRPr="00A56592">
        <w:rPr>
          <w:rFonts w:ascii="Arial" w:hAnsi="Arial" w:cs="Arial"/>
          <w:b/>
          <w:sz w:val="20"/>
        </w:rPr>
        <w:t xml:space="preserve">– </w:t>
      </w:r>
      <w:r w:rsidR="00A56592">
        <w:rPr>
          <w:rFonts w:ascii="Arial" w:hAnsi="Arial" w:cs="Arial"/>
          <w:b/>
          <w:sz w:val="20"/>
        </w:rPr>
        <w:t>Case Settled</w:t>
      </w:r>
    </w:p>
    <w:p w14:paraId="2C917E57" w14:textId="77777777" w:rsidR="00126D04" w:rsidRPr="00834215" w:rsidRDefault="00126D04" w:rsidP="00126D04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Performed Site Visits</w:t>
      </w:r>
    </w:p>
    <w:p w14:paraId="64A8AAFB" w14:textId="77777777" w:rsidR="00126D04" w:rsidRPr="00834215" w:rsidRDefault="00126D04" w:rsidP="00126D04">
      <w:pPr>
        <w:ind w:firstLine="720"/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>Review and Attendance of Depositions</w:t>
      </w:r>
    </w:p>
    <w:p w14:paraId="35B43970" w14:textId="77777777" w:rsidR="00126D04" w:rsidRPr="00834215" w:rsidRDefault="00126D04" w:rsidP="00126D04">
      <w:pPr>
        <w:rPr>
          <w:rFonts w:ascii="Arial" w:hAnsi="Arial" w:cs="Arial"/>
          <w:sz w:val="20"/>
        </w:rPr>
      </w:pPr>
      <w:r w:rsidRPr="00834215">
        <w:rPr>
          <w:rFonts w:ascii="Arial" w:hAnsi="Arial" w:cs="Arial"/>
          <w:sz w:val="20"/>
        </w:rPr>
        <w:tab/>
        <w:t>Review of Expert Reports</w:t>
      </w:r>
    </w:p>
    <w:p w14:paraId="3AD9480A" w14:textId="571072B9" w:rsidR="00C40A12" w:rsidRDefault="00126D04" w:rsidP="00C40A12">
      <w:pPr>
        <w:rPr>
          <w:rFonts w:asciiTheme="minorHAnsi" w:hAnsiTheme="minorHAnsi" w:cs="Arial"/>
          <w:b/>
          <w:sz w:val="22"/>
          <w:szCs w:val="22"/>
        </w:rPr>
      </w:pPr>
      <w:r w:rsidRPr="00834215">
        <w:rPr>
          <w:rFonts w:ascii="Arial" w:hAnsi="Arial" w:cs="Arial"/>
          <w:sz w:val="20"/>
        </w:rPr>
        <w:tab/>
        <w:t>Expert Opinion Report</w:t>
      </w:r>
      <w:r w:rsidR="00A56592">
        <w:rPr>
          <w:rFonts w:ascii="Arial" w:hAnsi="Arial" w:cs="Arial"/>
          <w:sz w:val="20"/>
        </w:rPr>
        <w:t xml:space="preserve"> </w:t>
      </w:r>
    </w:p>
    <w:p w14:paraId="3CAD78EE" w14:textId="77777777" w:rsidR="00F3265A" w:rsidRDefault="00F3265A" w:rsidP="00F3265A">
      <w:pPr>
        <w:jc w:val="right"/>
        <w:rPr>
          <w:rFonts w:ascii="Times New Roman" w:hAnsi="Times New Roman"/>
          <w:sz w:val="22"/>
          <w:szCs w:val="22"/>
        </w:rPr>
      </w:pPr>
    </w:p>
    <w:p w14:paraId="66051F5F" w14:textId="77777777" w:rsidR="00DB6D87" w:rsidRDefault="00DB6D87" w:rsidP="00DB6D8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</w:p>
    <w:p w14:paraId="6D916257" w14:textId="77777777" w:rsidR="00DB6D87" w:rsidRPr="00DB6D87" w:rsidRDefault="00DB6D87" w:rsidP="00DB6D87">
      <w:pPr>
        <w:rPr>
          <w:rFonts w:ascii="Times New Roman" w:hAnsi="Times New Roman"/>
          <w:sz w:val="22"/>
          <w:szCs w:val="22"/>
        </w:rPr>
      </w:pPr>
    </w:p>
    <w:p w14:paraId="7D7693D8" w14:textId="77777777" w:rsidR="00B37C4A" w:rsidRPr="00AE0331" w:rsidRDefault="00B37C4A" w:rsidP="00F427C3"/>
    <w:sectPr w:rsidR="00B37C4A" w:rsidRPr="00AE0331" w:rsidSect="00DA50C1">
      <w:headerReference w:type="default" r:id="rId6"/>
      <w:footerReference w:type="default" r:id="rId7"/>
      <w:endnotePr>
        <w:numFmt w:val="decimal"/>
      </w:endnotePr>
      <w:type w:val="continuous"/>
      <w:pgSz w:w="12240" w:h="15840"/>
      <w:pgMar w:top="720" w:right="720" w:bottom="72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DB340" w14:textId="77777777" w:rsidR="00C40A12" w:rsidRDefault="00C40A12" w:rsidP="008F250B">
      <w:r>
        <w:separator/>
      </w:r>
    </w:p>
  </w:endnote>
  <w:endnote w:type="continuationSeparator" w:id="0">
    <w:p w14:paraId="20D60163" w14:textId="77777777" w:rsidR="00C40A12" w:rsidRDefault="00C40A12" w:rsidP="008F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1DD07" w14:textId="4E63A0F8" w:rsidR="00C40A12" w:rsidRDefault="00126D04" w:rsidP="008F250B">
    <w:pPr>
      <w:pStyle w:val="Footer"/>
      <w:jc w:val="right"/>
    </w:pPr>
    <w:r>
      <w:rPr>
        <w:noProof/>
      </w:rPr>
      <w:drawing>
        <wp:inline distT="0" distB="0" distL="0" distR="0" wp14:anchorId="5F231DF0" wp14:editId="487CFA33">
          <wp:extent cx="1781175" cy="700698"/>
          <wp:effectExtent l="0" t="0" r="0" b="444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B070D5F-0A62-451C-8854-8A5A230FE5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B070D5F-0A62-451C-8854-8A5A230FE5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461" cy="717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09124F" w14:textId="77777777" w:rsidR="00C40A12" w:rsidRDefault="00C40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2C991" w14:textId="77777777" w:rsidR="00C40A12" w:rsidRDefault="00C40A12" w:rsidP="008F250B">
      <w:r>
        <w:separator/>
      </w:r>
    </w:p>
  </w:footnote>
  <w:footnote w:type="continuationSeparator" w:id="0">
    <w:p w14:paraId="4F261F1B" w14:textId="77777777" w:rsidR="00C40A12" w:rsidRDefault="00C40A12" w:rsidP="008F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915D2" w14:textId="77777777" w:rsidR="00DA50C1" w:rsidRDefault="00DA50C1" w:rsidP="00DA50C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A7"/>
    <w:rsid w:val="00041E26"/>
    <w:rsid w:val="00067D7A"/>
    <w:rsid w:val="00073973"/>
    <w:rsid w:val="00082B65"/>
    <w:rsid w:val="000875AC"/>
    <w:rsid w:val="000C50FE"/>
    <w:rsid w:val="000F3DE2"/>
    <w:rsid w:val="00126D04"/>
    <w:rsid w:val="00190FEA"/>
    <w:rsid w:val="00202C8B"/>
    <w:rsid w:val="00274AE3"/>
    <w:rsid w:val="0029050C"/>
    <w:rsid w:val="00316B8A"/>
    <w:rsid w:val="00330267"/>
    <w:rsid w:val="00362E7F"/>
    <w:rsid w:val="00453876"/>
    <w:rsid w:val="004975BF"/>
    <w:rsid w:val="004A0F7A"/>
    <w:rsid w:val="004D710F"/>
    <w:rsid w:val="005329A0"/>
    <w:rsid w:val="005A01A2"/>
    <w:rsid w:val="005E0745"/>
    <w:rsid w:val="005E1443"/>
    <w:rsid w:val="00607970"/>
    <w:rsid w:val="00632A0D"/>
    <w:rsid w:val="00834215"/>
    <w:rsid w:val="00840162"/>
    <w:rsid w:val="00857EA8"/>
    <w:rsid w:val="00893F66"/>
    <w:rsid w:val="008B5355"/>
    <w:rsid w:val="008F250B"/>
    <w:rsid w:val="00922B41"/>
    <w:rsid w:val="00973216"/>
    <w:rsid w:val="009C01FB"/>
    <w:rsid w:val="009D41E2"/>
    <w:rsid w:val="00A0084B"/>
    <w:rsid w:val="00A04106"/>
    <w:rsid w:val="00A102D3"/>
    <w:rsid w:val="00A205B5"/>
    <w:rsid w:val="00A56592"/>
    <w:rsid w:val="00A572A5"/>
    <w:rsid w:val="00AE0331"/>
    <w:rsid w:val="00AE7174"/>
    <w:rsid w:val="00AF7EAC"/>
    <w:rsid w:val="00B37C4A"/>
    <w:rsid w:val="00B87442"/>
    <w:rsid w:val="00BB3420"/>
    <w:rsid w:val="00BC2FE9"/>
    <w:rsid w:val="00C40A12"/>
    <w:rsid w:val="00C96F01"/>
    <w:rsid w:val="00CF0EC2"/>
    <w:rsid w:val="00CF7887"/>
    <w:rsid w:val="00D10835"/>
    <w:rsid w:val="00D42060"/>
    <w:rsid w:val="00D70C24"/>
    <w:rsid w:val="00D878B3"/>
    <w:rsid w:val="00DA50C1"/>
    <w:rsid w:val="00DB6D87"/>
    <w:rsid w:val="00DC6501"/>
    <w:rsid w:val="00E27CA7"/>
    <w:rsid w:val="00E97C10"/>
    <w:rsid w:val="00EF00AC"/>
    <w:rsid w:val="00F3265A"/>
    <w:rsid w:val="00F3705C"/>
    <w:rsid w:val="00F427C3"/>
    <w:rsid w:val="00F7186E"/>
    <w:rsid w:val="00F93836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3D806F47"/>
  <w15:docId w15:val="{A2774224-F825-4644-B5F5-843F3E6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5C"/>
    <w:pPr>
      <w:widowControl w:val="0"/>
    </w:pPr>
    <w:rPr>
      <w:rFonts w:ascii="Tms Rmn" w:hAnsi="Tms Rmn"/>
      <w:snapToGrid w:val="0"/>
      <w:sz w:val="24"/>
    </w:rPr>
  </w:style>
  <w:style w:type="paragraph" w:styleId="Heading1">
    <w:name w:val="heading 1"/>
    <w:basedOn w:val="Normal"/>
    <w:next w:val="Normal"/>
    <w:qFormat/>
    <w:rsid w:val="00F3705C"/>
    <w:pPr>
      <w:keepNext/>
      <w:pBdr>
        <w:bottom w:val="single" w:sz="8" w:space="1" w:color="auto"/>
      </w:pBdr>
      <w:tabs>
        <w:tab w:val="center" w:pos="468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F3705C"/>
    <w:pPr>
      <w:keepNext/>
      <w:outlineLvl w:val="1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3705C"/>
  </w:style>
  <w:style w:type="paragraph" w:styleId="BodyText">
    <w:name w:val="Body Text"/>
    <w:basedOn w:val="Normal"/>
    <w:rsid w:val="00F3705C"/>
    <w:pPr>
      <w:jc w:val="both"/>
    </w:pPr>
    <w:rPr>
      <w:rFonts w:ascii="Times New Roman" w:hAnsi="Times New Roman"/>
      <w:bCs/>
      <w:sz w:val="22"/>
    </w:rPr>
  </w:style>
  <w:style w:type="paragraph" w:styleId="BalloonText">
    <w:name w:val="Balloon Text"/>
    <w:basedOn w:val="Normal"/>
    <w:semiHidden/>
    <w:rsid w:val="000F3D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50B"/>
    <w:rPr>
      <w:rFonts w:ascii="Tms Rmn" w:hAnsi="Tms Rmn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8F2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50B"/>
    <w:rPr>
      <w:rFonts w:ascii="Tms Rmn" w:hAnsi="Tms Rmn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AE7174"/>
    <w:pPr>
      <w:widowControl/>
      <w:ind w:left="720"/>
    </w:pPr>
    <w:rPr>
      <w:rFonts w:ascii="Times New Roman" w:eastAsiaTheme="minorHAnsi" w:hAnsi="Times New Roman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J</vt:lpstr>
    </vt:vector>
  </TitlesOfParts>
  <Company>GALLO &amp; DUBOIS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J</dc:title>
  <dc:creator>GALLO &amp; DUBOIS</dc:creator>
  <cp:lastModifiedBy>Brian Herbert</cp:lastModifiedBy>
  <cp:revision>5</cp:revision>
  <cp:lastPrinted>2016-02-03T01:18:00Z</cp:lastPrinted>
  <dcterms:created xsi:type="dcterms:W3CDTF">2016-02-03T01:18:00Z</dcterms:created>
  <dcterms:modified xsi:type="dcterms:W3CDTF">2024-10-09T18:22:00Z</dcterms:modified>
</cp:coreProperties>
</file>