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74B1" w14:textId="77777777" w:rsidR="007725D1" w:rsidRPr="007725D1" w:rsidRDefault="007725D1" w:rsidP="007725D1">
      <w:pPr>
        <w:spacing w:before="100" w:beforeAutospacing="1" w:after="100" w:afterAutospacing="1"/>
        <w:outlineLvl w:val="0"/>
        <w:rPr>
          <w:rFonts w:ascii="Times New Roman" w:hAnsi="Times New Roman" w:cs="Times New Roman"/>
          <w:b/>
          <w:bCs/>
          <w:kern w:val="36"/>
          <w:sz w:val="48"/>
          <w:szCs w:val="48"/>
        </w:rPr>
      </w:pPr>
      <w:r w:rsidRPr="007725D1">
        <w:rPr>
          <w:rFonts w:ascii="Apple Color Emoji" w:hAnsi="Apple Color Emoji" w:cs="Apple Color Emoji"/>
          <w:b/>
          <w:bCs/>
          <w:kern w:val="36"/>
          <w:sz w:val="48"/>
          <w:szCs w:val="48"/>
        </w:rPr>
        <w:t>📄</w:t>
      </w:r>
      <w:r w:rsidRPr="007725D1">
        <w:rPr>
          <w:rFonts w:ascii="Times New Roman" w:hAnsi="Times New Roman" w:cs="Times New Roman"/>
          <w:b/>
          <w:bCs/>
          <w:kern w:val="36"/>
          <w:sz w:val="48"/>
          <w:szCs w:val="48"/>
        </w:rPr>
        <w:t xml:space="preserve"> DAVID MARTINEZ</w:t>
      </w:r>
    </w:p>
    <w:p w14:paraId="393076BB"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Medical Billing &amp; UCR Reimbursement Expert Witness</w:t>
      </w:r>
      <w:r w:rsidRPr="007725D1">
        <w:rPr>
          <w:rFonts w:ascii="Times New Roman" w:hAnsi="Times New Roman" w:cs="Times New Roman"/>
        </w:rPr>
        <w:br/>
        <w:t>Accurate Billing Investigators, Inc.</w:t>
      </w:r>
      <w:r w:rsidRPr="007725D1">
        <w:rPr>
          <w:rFonts w:ascii="Times New Roman" w:hAnsi="Times New Roman" w:cs="Times New Roman"/>
        </w:rPr>
        <w:br/>
        <w:t>McKinney, Texas</w:t>
      </w:r>
    </w:p>
    <w:p w14:paraId="1347B8E8"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t>Tel: (844) 222-8245</w:t>
      </w:r>
    </w:p>
    <w:p w14:paraId="418D4F02"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7FBB9F7B">
          <v:rect id="_x0000_i1042" alt="" style="width:468pt;height:.05pt;mso-width-percent:0;mso-height-percent:0;mso-width-percent:0;mso-height-percent:0" o:hralign="center" o:hrstd="t" o:hr="t" fillcolor="#a0a0a0" stroked="f"/>
        </w:pict>
      </w:r>
    </w:p>
    <w:p w14:paraId="651CD871"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PROFESSIONAL SUMMARY</w:t>
      </w:r>
    </w:p>
    <w:p w14:paraId="1EA8434A"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t>Medical billing and reimbursement expert with over 35 years of experience in healthcare revenue cycle management, payer methodologies, and claims adjudication. Expertise includes evaluation of billing accuracy, usual and customary (UCR) charges, reimbursement methodologies, and payer denial practices.</w:t>
      </w:r>
    </w:p>
    <w:p w14:paraId="382A385D"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t>Practice includes multi-state reimbursement analysis, with extensive experience in California managed care systems, including HMO, IPA, and risk-based reimbursement structures, in addition to Medicare Advantage and national payer methodologies.</w:t>
      </w:r>
    </w:p>
    <w:p w14:paraId="46C11064"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t>Retained by both plaintiff and defense counsel in complex reimbursement disputes involving hospitals, physician groups, ambulatory surgery centers, and independent providers. Provides case analysis, expert reports, rebuttal opinions, and deposition/testimony services.</w:t>
      </w:r>
    </w:p>
    <w:p w14:paraId="779EA68A"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5BE232DC">
          <v:rect id="_x0000_i1041" alt="" style="width:468pt;height:.05pt;mso-width-percent:0;mso-height-percent:0;mso-width-percent:0;mso-height-percent:0" o:hralign="center" o:hrstd="t" o:hr="t" fillcolor="#a0a0a0" stroked="f"/>
        </w:pict>
      </w:r>
    </w:p>
    <w:p w14:paraId="1C67F0A6"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AREAS OF EXPERTISE</w:t>
      </w:r>
    </w:p>
    <w:p w14:paraId="5A87D52A"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Medical billing and coding (CPT, HCPCS, ICD)</w:t>
      </w:r>
    </w:p>
    <w:p w14:paraId="28098354"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Usual, customary, and reasonable (UCR) analysis</w:t>
      </w:r>
    </w:p>
    <w:p w14:paraId="0FFFE38B"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Out-of-network reimbursement disputes</w:t>
      </w:r>
    </w:p>
    <w:p w14:paraId="66C8FD8C"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ERISA and managed care reimbursement methodologies</w:t>
      </w:r>
    </w:p>
    <w:p w14:paraId="47B3CA96"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Claims denials and audit analysis</w:t>
      </w:r>
    </w:p>
    <w:p w14:paraId="576FB774"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Medicare, Medicaid, and commercial payer compliance</w:t>
      </w:r>
    </w:p>
    <w:p w14:paraId="73DDCA9C"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Medical record and billing documentation review</w:t>
      </w:r>
    </w:p>
    <w:p w14:paraId="1EB2AAF9" w14:textId="77777777" w:rsidR="007725D1" w:rsidRPr="007725D1" w:rsidRDefault="007725D1" w:rsidP="007725D1">
      <w:pPr>
        <w:numPr>
          <w:ilvl w:val="0"/>
          <w:numId w:val="1"/>
        </w:numPr>
        <w:spacing w:before="100" w:beforeAutospacing="1" w:after="100" w:afterAutospacing="1"/>
        <w:rPr>
          <w:rFonts w:ascii="Times New Roman" w:hAnsi="Times New Roman" w:cs="Times New Roman"/>
        </w:rPr>
      </w:pPr>
      <w:r w:rsidRPr="007725D1">
        <w:rPr>
          <w:rFonts w:ascii="Times New Roman" w:hAnsi="Times New Roman" w:cs="Times New Roman"/>
        </w:rPr>
        <w:t>Fee schedule analysis and reasonable value determinations</w:t>
      </w:r>
    </w:p>
    <w:p w14:paraId="4755E64D"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0FC60175">
          <v:rect id="_x0000_i1040" alt="" style="width:468pt;height:.05pt;mso-width-percent:0;mso-height-percent:0;mso-width-percent:0;mso-height-percent:0" o:hralign="center" o:hrstd="t" o:hr="t" fillcolor="#a0a0a0" stroked="f"/>
        </w:pict>
      </w:r>
    </w:p>
    <w:p w14:paraId="4570FBA1"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PROFESSIONAL EXPERIENCE</w:t>
      </w:r>
    </w:p>
    <w:p w14:paraId="1A72194C"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Accurate Medical Billing &amp; Audit / Accurate Billing Investigators, Inc.</w:t>
      </w:r>
    </w:p>
    <w:p w14:paraId="264128DD"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lastRenderedPageBreak/>
        <w:t>Rancho Cucamonga, CA / McKinney, TX</w:t>
      </w:r>
      <w:r w:rsidRPr="007725D1">
        <w:rPr>
          <w:rFonts w:ascii="Times New Roman" w:hAnsi="Times New Roman" w:cs="Times New Roman"/>
        </w:rPr>
        <w:br/>
      </w:r>
      <w:r w:rsidRPr="007725D1">
        <w:rPr>
          <w:rFonts w:ascii="Times New Roman" w:hAnsi="Times New Roman" w:cs="Times New Roman"/>
          <w:b/>
          <w:bCs/>
        </w:rPr>
        <w:t>Owner, CEO &amp; Founder</w:t>
      </w:r>
    </w:p>
    <w:p w14:paraId="2CC97F3A" w14:textId="77777777" w:rsidR="007725D1" w:rsidRPr="007725D1" w:rsidRDefault="007725D1" w:rsidP="007725D1">
      <w:pPr>
        <w:numPr>
          <w:ilvl w:val="0"/>
          <w:numId w:val="2"/>
        </w:numPr>
        <w:spacing w:before="100" w:beforeAutospacing="1" w:after="100" w:afterAutospacing="1"/>
        <w:rPr>
          <w:rFonts w:ascii="Times New Roman" w:hAnsi="Times New Roman" w:cs="Times New Roman"/>
        </w:rPr>
      </w:pPr>
      <w:r w:rsidRPr="007725D1">
        <w:rPr>
          <w:rFonts w:ascii="Times New Roman" w:hAnsi="Times New Roman" w:cs="Times New Roman"/>
        </w:rPr>
        <w:t>Founded and operate a national medical billing and audit firm specializing in reimbursement analysis and claims dispute resolution</w:t>
      </w:r>
    </w:p>
    <w:p w14:paraId="49229ED9" w14:textId="77777777" w:rsidR="007725D1" w:rsidRPr="007725D1" w:rsidRDefault="007725D1" w:rsidP="007725D1">
      <w:pPr>
        <w:numPr>
          <w:ilvl w:val="0"/>
          <w:numId w:val="2"/>
        </w:numPr>
        <w:spacing w:before="100" w:beforeAutospacing="1" w:after="100" w:afterAutospacing="1"/>
        <w:rPr>
          <w:rFonts w:ascii="Times New Roman" w:hAnsi="Times New Roman" w:cs="Times New Roman"/>
        </w:rPr>
      </w:pPr>
      <w:r w:rsidRPr="007725D1">
        <w:rPr>
          <w:rFonts w:ascii="Times New Roman" w:hAnsi="Times New Roman" w:cs="Times New Roman"/>
        </w:rPr>
        <w:t>Only billing service to earn Preferred Partner status with San Bernardino County Medical Society</w:t>
      </w:r>
    </w:p>
    <w:p w14:paraId="5034CF4F" w14:textId="77777777" w:rsidR="007725D1" w:rsidRPr="007725D1" w:rsidRDefault="007725D1" w:rsidP="007725D1">
      <w:pPr>
        <w:numPr>
          <w:ilvl w:val="0"/>
          <w:numId w:val="2"/>
        </w:numPr>
        <w:spacing w:before="100" w:beforeAutospacing="1" w:after="100" w:afterAutospacing="1"/>
        <w:rPr>
          <w:rFonts w:ascii="Times New Roman" w:hAnsi="Times New Roman" w:cs="Times New Roman"/>
        </w:rPr>
      </w:pPr>
      <w:r w:rsidRPr="007725D1">
        <w:rPr>
          <w:rFonts w:ascii="Times New Roman" w:hAnsi="Times New Roman" w:cs="Times New Roman"/>
        </w:rPr>
        <w:t>Authorized provider of continuing education (CEU) courses for physicians in California</w:t>
      </w:r>
    </w:p>
    <w:p w14:paraId="1501F9CB" w14:textId="77777777" w:rsidR="007725D1" w:rsidRPr="007725D1" w:rsidRDefault="007725D1" w:rsidP="007725D1">
      <w:pPr>
        <w:numPr>
          <w:ilvl w:val="0"/>
          <w:numId w:val="2"/>
        </w:numPr>
        <w:spacing w:before="100" w:beforeAutospacing="1" w:after="100" w:afterAutospacing="1"/>
        <w:rPr>
          <w:rFonts w:ascii="Times New Roman" w:hAnsi="Times New Roman" w:cs="Times New Roman"/>
        </w:rPr>
      </w:pPr>
      <w:r w:rsidRPr="007725D1">
        <w:rPr>
          <w:rFonts w:ascii="Times New Roman" w:hAnsi="Times New Roman" w:cs="Times New Roman"/>
        </w:rPr>
        <w:t>Developed advanced denial management and audit protocols</w:t>
      </w:r>
    </w:p>
    <w:p w14:paraId="07D8B066" w14:textId="77777777" w:rsidR="007725D1" w:rsidRPr="007725D1" w:rsidRDefault="007725D1" w:rsidP="007725D1">
      <w:pPr>
        <w:numPr>
          <w:ilvl w:val="0"/>
          <w:numId w:val="2"/>
        </w:numPr>
        <w:spacing w:before="100" w:beforeAutospacing="1" w:after="100" w:afterAutospacing="1"/>
        <w:rPr>
          <w:rFonts w:ascii="Times New Roman" w:hAnsi="Times New Roman" w:cs="Times New Roman"/>
        </w:rPr>
      </w:pPr>
      <w:r w:rsidRPr="007725D1">
        <w:rPr>
          <w:rFonts w:ascii="Times New Roman" w:hAnsi="Times New Roman" w:cs="Times New Roman"/>
        </w:rPr>
        <w:t>Regularly engaged in complex reimbursement dispute analysis</w:t>
      </w:r>
    </w:p>
    <w:p w14:paraId="1EF3EFC1"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3A32AFAF">
          <v:rect id="_x0000_i1039" alt="" style="width:468pt;height:.05pt;mso-width-percent:0;mso-height-percent:0;mso-width-percent:0;mso-height-percent:0" o:hralign="center" o:hrstd="t" o:hr="t" fillcolor="#a0a0a0" stroked="f"/>
        </w:pict>
      </w:r>
    </w:p>
    <w:p w14:paraId="0F418985"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Consolidated Healthcare Services / A1 Imaging / Hallmark Surgery Center</w:t>
      </w:r>
    </w:p>
    <w:p w14:paraId="604574F4"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National Director of Billing &amp; Collections</w:t>
      </w:r>
    </w:p>
    <w:p w14:paraId="63A492F9" w14:textId="77777777" w:rsidR="007725D1" w:rsidRPr="007725D1" w:rsidRDefault="007725D1" w:rsidP="007725D1">
      <w:pPr>
        <w:numPr>
          <w:ilvl w:val="0"/>
          <w:numId w:val="3"/>
        </w:numPr>
        <w:spacing w:before="100" w:beforeAutospacing="1" w:after="100" w:afterAutospacing="1"/>
        <w:rPr>
          <w:rFonts w:ascii="Times New Roman" w:hAnsi="Times New Roman" w:cs="Times New Roman"/>
        </w:rPr>
      </w:pPr>
      <w:r w:rsidRPr="007725D1">
        <w:rPr>
          <w:rFonts w:ascii="Times New Roman" w:hAnsi="Times New Roman" w:cs="Times New Roman"/>
        </w:rPr>
        <w:t>Oversaw billing operations for 54 MRI facilities across multiple states</w:t>
      </w:r>
    </w:p>
    <w:p w14:paraId="3BA74E99" w14:textId="77777777" w:rsidR="007725D1" w:rsidRPr="007725D1" w:rsidRDefault="007725D1" w:rsidP="007725D1">
      <w:pPr>
        <w:numPr>
          <w:ilvl w:val="0"/>
          <w:numId w:val="3"/>
        </w:numPr>
        <w:spacing w:before="100" w:beforeAutospacing="1" w:after="100" w:afterAutospacing="1"/>
        <w:rPr>
          <w:rFonts w:ascii="Times New Roman" w:hAnsi="Times New Roman" w:cs="Times New Roman"/>
        </w:rPr>
      </w:pPr>
      <w:r w:rsidRPr="007725D1">
        <w:rPr>
          <w:rFonts w:ascii="Times New Roman" w:hAnsi="Times New Roman" w:cs="Times New Roman"/>
        </w:rPr>
        <w:t>Managed team of 24 direct and 72 indirect staff</w:t>
      </w:r>
    </w:p>
    <w:p w14:paraId="1C7F0BE4" w14:textId="77777777" w:rsidR="007725D1" w:rsidRPr="007725D1" w:rsidRDefault="007725D1" w:rsidP="007725D1">
      <w:pPr>
        <w:numPr>
          <w:ilvl w:val="0"/>
          <w:numId w:val="3"/>
        </w:numPr>
        <w:spacing w:before="100" w:beforeAutospacing="1" w:after="100" w:afterAutospacing="1"/>
        <w:rPr>
          <w:rFonts w:ascii="Times New Roman" w:hAnsi="Times New Roman" w:cs="Times New Roman"/>
        </w:rPr>
      </w:pPr>
      <w:r w:rsidRPr="007725D1">
        <w:rPr>
          <w:rFonts w:ascii="Times New Roman" w:hAnsi="Times New Roman" w:cs="Times New Roman"/>
        </w:rPr>
        <w:t>Implemented training programs and revenue cycle improvements</w:t>
      </w:r>
    </w:p>
    <w:p w14:paraId="50F7E82B" w14:textId="77777777" w:rsidR="007725D1" w:rsidRPr="007725D1" w:rsidRDefault="007725D1" w:rsidP="007725D1">
      <w:pPr>
        <w:numPr>
          <w:ilvl w:val="0"/>
          <w:numId w:val="3"/>
        </w:numPr>
        <w:spacing w:before="100" w:beforeAutospacing="1" w:after="100" w:afterAutospacing="1"/>
        <w:rPr>
          <w:rFonts w:ascii="Times New Roman" w:hAnsi="Times New Roman" w:cs="Times New Roman"/>
        </w:rPr>
      </w:pPr>
      <w:r w:rsidRPr="007725D1">
        <w:rPr>
          <w:rFonts w:ascii="Times New Roman" w:hAnsi="Times New Roman" w:cs="Times New Roman"/>
        </w:rPr>
        <w:t>Achieved or exceeded collection goals in 16 of 18 months (prior department achieved 1 in 36 months)</w:t>
      </w:r>
    </w:p>
    <w:p w14:paraId="51929841" w14:textId="77777777" w:rsidR="007725D1" w:rsidRPr="007725D1" w:rsidRDefault="007725D1" w:rsidP="007725D1">
      <w:pPr>
        <w:numPr>
          <w:ilvl w:val="0"/>
          <w:numId w:val="3"/>
        </w:numPr>
        <w:spacing w:before="100" w:beforeAutospacing="1" w:after="100" w:afterAutospacing="1"/>
        <w:rPr>
          <w:rFonts w:ascii="Times New Roman" w:hAnsi="Times New Roman" w:cs="Times New Roman"/>
        </w:rPr>
      </w:pPr>
      <w:r w:rsidRPr="007725D1">
        <w:rPr>
          <w:rFonts w:ascii="Times New Roman" w:hAnsi="Times New Roman" w:cs="Times New Roman"/>
        </w:rPr>
        <w:t>Reduced backlog without write-offs and implemented automated appeals processes</w:t>
      </w:r>
    </w:p>
    <w:p w14:paraId="7FE7DF42"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458A9FAB">
          <v:rect id="_x0000_i1038" alt="" style="width:468pt;height:.05pt;mso-width-percent:0;mso-height-percent:0;mso-width-percent:0;mso-height-percent:0" o:hralign="center" o:hrstd="t" o:hr="t" fillcolor="#a0a0a0" stroked="f"/>
        </w:pict>
      </w:r>
    </w:p>
    <w:p w14:paraId="7D6CEB85"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Prime Healthcare</w:t>
      </w:r>
    </w:p>
    <w:p w14:paraId="569459F5"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Hospital Business Office Manager</w:t>
      </w:r>
    </w:p>
    <w:p w14:paraId="144BE399" w14:textId="77777777" w:rsidR="007725D1" w:rsidRPr="007725D1" w:rsidRDefault="007725D1" w:rsidP="007725D1">
      <w:pPr>
        <w:numPr>
          <w:ilvl w:val="0"/>
          <w:numId w:val="4"/>
        </w:numPr>
        <w:spacing w:before="100" w:beforeAutospacing="1" w:after="100" w:afterAutospacing="1"/>
        <w:rPr>
          <w:rFonts w:ascii="Times New Roman" w:hAnsi="Times New Roman" w:cs="Times New Roman"/>
        </w:rPr>
      </w:pPr>
      <w:r w:rsidRPr="007725D1">
        <w:rPr>
          <w:rFonts w:ascii="Times New Roman" w:hAnsi="Times New Roman" w:cs="Times New Roman"/>
        </w:rPr>
        <w:t>Directed hospital billing and managed care operations</w:t>
      </w:r>
    </w:p>
    <w:p w14:paraId="3E672505" w14:textId="77777777" w:rsidR="007725D1" w:rsidRPr="007725D1" w:rsidRDefault="007725D1" w:rsidP="007725D1">
      <w:pPr>
        <w:numPr>
          <w:ilvl w:val="0"/>
          <w:numId w:val="4"/>
        </w:numPr>
        <w:spacing w:before="100" w:beforeAutospacing="1" w:after="100" w:afterAutospacing="1"/>
        <w:rPr>
          <w:rFonts w:ascii="Times New Roman" w:hAnsi="Times New Roman" w:cs="Times New Roman"/>
        </w:rPr>
      </w:pPr>
      <w:r w:rsidRPr="007725D1">
        <w:rPr>
          <w:rFonts w:ascii="Times New Roman" w:hAnsi="Times New Roman" w:cs="Times New Roman"/>
        </w:rPr>
        <w:t>Collaborated with legal counsel on medical record interpretation</w:t>
      </w:r>
    </w:p>
    <w:p w14:paraId="160412C0" w14:textId="77777777" w:rsidR="007725D1" w:rsidRPr="007725D1" w:rsidRDefault="007725D1" w:rsidP="007725D1">
      <w:pPr>
        <w:numPr>
          <w:ilvl w:val="0"/>
          <w:numId w:val="4"/>
        </w:numPr>
        <w:spacing w:before="100" w:beforeAutospacing="1" w:after="100" w:afterAutospacing="1"/>
        <w:rPr>
          <w:rFonts w:ascii="Times New Roman" w:hAnsi="Times New Roman" w:cs="Times New Roman"/>
        </w:rPr>
      </w:pPr>
      <w:r w:rsidRPr="007725D1">
        <w:rPr>
          <w:rFonts w:ascii="Times New Roman" w:hAnsi="Times New Roman" w:cs="Times New Roman"/>
        </w:rPr>
        <w:t>Promoted within five months based on performance</w:t>
      </w:r>
    </w:p>
    <w:p w14:paraId="355012BD" w14:textId="77777777" w:rsidR="007725D1" w:rsidRPr="007725D1" w:rsidRDefault="007725D1" w:rsidP="007725D1">
      <w:pPr>
        <w:numPr>
          <w:ilvl w:val="0"/>
          <w:numId w:val="4"/>
        </w:numPr>
        <w:spacing w:before="100" w:beforeAutospacing="1" w:after="100" w:afterAutospacing="1"/>
        <w:rPr>
          <w:rFonts w:ascii="Times New Roman" w:hAnsi="Times New Roman" w:cs="Times New Roman"/>
        </w:rPr>
      </w:pPr>
      <w:r w:rsidRPr="007725D1">
        <w:rPr>
          <w:rFonts w:ascii="Times New Roman" w:hAnsi="Times New Roman" w:cs="Times New Roman"/>
        </w:rPr>
        <w:t>Improved compliance and operational efficiency in claims processing</w:t>
      </w:r>
    </w:p>
    <w:p w14:paraId="5BEB9EF8"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721C4DD1">
          <v:rect id="_x0000_i1037" alt="" style="width:468pt;height:.05pt;mso-width-percent:0;mso-height-percent:0;mso-width-percent:0;mso-height-percent:0" o:hralign="center" o:hrstd="t" o:hr="t" fillcolor="#a0a0a0" stroked="f"/>
        </w:pict>
      </w:r>
    </w:p>
    <w:p w14:paraId="793E86C7"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Perot Systems (Acquired by Dell)</w:t>
      </w:r>
    </w:p>
    <w:p w14:paraId="6EC575B4"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IDX Systems Analyst</w:t>
      </w:r>
    </w:p>
    <w:p w14:paraId="28416C82" w14:textId="77777777" w:rsidR="007725D1" w:rsidRPr="007725D1" w:rsidRDefault="007725D1" w:rsidP="007725D1">
      <w:pPr>
        <w:numPr>
          <w:ilvl w:val="0"/>
          <w:numId w:val="5"/>
        </w:numPr>
        <w:spacing w:before="100" w:beforeAutospacing="1" w:after="100" w:afterAutospacing="1"/>
        <w:rPr>
          <w:rFonts w:ascii="Times New Roman" w:hAnsi="Times New Roman" w:cs="Times New Roman"/>
        </w:rPr>
      </w:pPr>
      <w:r w:rsidRPr="007725D1">
        <w:rPr>
          <w:rFonts w:ascii="Times New Roman" w:hAnsi="Times New Roman" w:cs="Times New Roman"/>
        </w:rPr>
        <w:t>Audited GE/IDX systems and HMO benefit structures</w:t>
      </w:r>
    </w:p>
    <w:p w14:paraId="70EC8347" w14:textId="77777777" w:rsidR="007725D1" w:rsidRPr="007725D1" w:rsidRDefault="007725D1" w:rsidP="007725D1">
      <w:pPr>
        <w:numPr>
          <w:ilvl w:val="0"/>
          <w:numId w:val="5"/>
        </w:numPr>
        <w:spacing w:before="100" w:beforeAutospacing="1" w:after="100" w:afterAutospacing="1"/>
        <w:rPr>
          <w:rFonts w:ascii="Times New Roman" w:hAnsi="Times New Roman" w:cs="Times New Roman"/>
        </w:rPr>
      </w:pPr>
      <w:r w:rsidRPr="007725D1">
        <w:rPr>
          <w:rFonts w:ascii="Times New Roman" w:hAnsi="Times New Roman" w:cs="Times New Roman"/>
        </w:rPr>
        <w:t>Evaluated eligibility systems and contract applications</w:t>
      </w:r>
    </w:p>
    <w:p w14:paraId="3C7522A5" w14:textId="77777777" w:rsidR="007725D1" w:rsidRPr="007725D1" w:rsidRDefault="007725D1" w:rsidP="007725D1">
      <w:pPr>
        <w:numPr>
          <w:ilvl w:val="0"/>
          <w:numId w:val="5"/>
        </w:numPr>
        <w:spacing w:before="100" w:beforeAutospacing="1" w:after="100" w:afterAutospacing="1"/>
        <w:rPr>
          <w:rFonts w:ascii="Times New Roman" w:hAnsi="Times New Roman" w:cs="Times New Roman"/>
        </w:rPr>
      </w:pPr>
      <w:r w:rsidRPr="007725D1">
        <w:rPr>
          <w:rFonts w:ascii="Times New Roman" w:hAnsi="Times New Roman" w:cs="Times New Roman"/>
        </w:rPr>
        <w:t>Facilitated executive-level meetings on contract interpretation</w:t>
      </w:r>
    </w:p>
    <w:p w14:paraId="74BEE456"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42E23DF1">
          <v:rect id="_x0000_i1036" alt="" style="width:468pt;height:.05pt;mso-width-percent:0;mso-height-percent:0;mso-width-percent:0;mso-height-percent:0" o:hralign="center" o:hrstd="t" o:hr="t" fillcolor="#a0a0a0" stroked="f"/>
        </w:pict>
      </w:r>
    </w:p>
    <w:p w14:paraId="5A4AB39F"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lastRenderedPageBreak/>
        <w:t>Pomona Hospital Medical Center</w:t>
      </w:r>
    </w:p>
    <w:p w14:paraId="7ED9C8AE"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Claims Supervisor</w:t>
      </w:r>
    </w:p>
    <w:p w14:paraId="03F4A6F6" w14:textId="77777777" w:rsidR="007725D1" w:rsidRPr="007725D1" w:rsidRDefault="007725D1" w:rsidP="007725D1">
      <w:pPr>
        <w:numPr>
          <w:ilvl w:val="0"/>
          <w:numId w:val="6"/>
        </w:numPr>
        <w:spacing w:before="100" w:beforeAutospacing="1" w:after="100" w:afterAutospacing="1"/>
        <w:rPr>
          <w:rFonts w:ascii="Times New Roman" w:hAnsi="Times New Roman" w:cs="Times New Roman"/>
        </w:rPr>
      </w:pPr>
      <w:r w:rsidRPr="007725D1">
        <w:rPr>
          <w:rFonts w:ascii="Times New Roman" w:hAnsi="Times New Roman" w:cs="Times New Roman"/>
        </w:rPr>
        <w:t>Managed claims staff handling inpatient, outpatient, SNF, ambulance, and ancillary billing</w:t>
      </w:r>
    </w:p>
    <w:p w14:paraId="5BB5E67C" w14:textId="77777777" w:rsidR="007725D1" w:rsidRPr="007725D1" w:rsidRDefault="007725D1" w:rsidP="007725D1">
      <w:pPr>
        <w:numPr>
          <w:ilvl w:val="0"/>
          <w:numId w:val="6"/>
        </w:numPr>
        <w:spacing w:before="100" w:beforeAutospacing="1" w:after="100" w:afterAutospacing="1"/>
        <w:rPr>
          <w:rFonts w:ascii="Times New Roman" w:hAnsi="Times New Roman" w:cs="Times New Roman"/>
        </w:rPr>
      </w:pPr>
      <w:r w:rsidRPr="007725D1">
        <w:rPr>
          <w:rFonts w:ascii="Times New Roman" w:hAnsi="Times New Roman" w:cs="Times New Roman"/>
        </w:rPr>
        <w:t>Provided training, oversight, and performance management</w:t>
      </w:r>
    </w:p>
    <w:p w14:paraId="6C5808F2"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7C6F197E">
          <v:rect id="_x0000_i1035" alt="" style="width:468pt;height:.05pt;mso-width-percent:0;mso-height-percent:0;mso-width-percent:0;mso-height-percent:0" o:hralign="center" o:hrstd="t" o:hr="t" fillcolor="#a0a0a0" stroked="f"/>
        </w:pict>
      </w:r>
    </w:p>
    <w:p w14:paraId="085C2D52"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Desert Physicians Management</w:t>
      </w:r>
    </w:p>
    <w:p w14:paraId="53434A93"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Revenue Recovery (Department Implementation)</w:t>
      </w:r>
    </w:p>
    <w:p w14:paraId="5790D48C" w14:textId="77777777" w:rsidR="007725D1" w:rsidRPr="007725D1" w:rsidRDefault="007725D1" w:rsidP="007725D1">
      <w:pPr>
        <w:numPr>
          <w:ilvl w:val="0"/>
          <w:numId w:val="7"/>
        </w:numPr>
        <w:spacing w:before="100" w:beforeAutospacing="1" w:after="100" w:afterAutospacing="1"/>
        <w:rPr>
          <w:rFonts w:ascii="Times New Roman" w:hAnsi="Times New Roman" w:cs="Times New Roman"/>
        </w:rPr>
      </w:pPr>
      <w:r w:rsidRPr="007725D1">
        <w:rPr>
          <w:rFonts w:ascii="Times New Roman" w:hAnsi="Times New Roman" w:cs="Times New Roman"/>
        </w:rPr>
        <w:t>Established revenue recovery operations</w:t>
      </w:r>
    </w:p>
    <w:p w14:paraId="6A36F552" w14:textId="77777777" w:rsidR="007725D1" w:rsidRPr="007725D1" w:rsidRDefault="007725D1" w:rsidP="007725D1">
      <w:pPr>
        <w:numPr>
          <w:ilvl w:val="0"/>
          <w:numId w:val="7"/>
        </w:numPr>
        <w:spacing w:before="100" w:beforeAutospacing="1" w:after="100" w:afterAutospacing="1"/>
        <w:rPr>
          <w:rFonts w:ascii="Times New Roman" w:hAnsi="Times New Roman" w:cs="Times New Roman"/>
        </w:rPr>
      </w:pPr>
      <w:r w:rsidRPr="007725D1">
        <w:rPr>
          <w:rFonts w:ascii="Times New Roman" w:hAnsi="Times New Roman" w:cs="Times New Roman"/>
        </w:rPr>
        <w:t>Managed third-party lien recovery and risk reconciliation</w:t>
      </w:r>
    </w:p>
    <w:p w14:paraId="596E2B4C" w14:textId="77777777" w:rsidR="007725D1" w:rsidRPr="007725D1" w:rsidRDefault="007725D1" w:rsidP="007725D1">
      <w:pPr>
        <w:numPr>
          <w:ilvl w:val="0"/>
          <w:numId w:val="7"/>
        </w:numPr>
        <w:spacing w:before="100" w:beforeAutospacing="1" w:after="100" w:afterAutospacing="1"/>
        <w:rPr>
          <w:rFonts w:ascii="Times New Roman" w:hAnsi="Times New Roman" w:cs="Times New Roman"/>
        </w:rPr>
      </w:pPr>
      <w:r w:rsidRPr="007725D1">
        <w:rPr>
          <w:rFonts w:ascii="Times New Roman" w:hAnsi="Times New Roman" w:cs="Times New Roman"/>
        </w:rPr>
        <w:t>Identified and recovered previously unrecognized revenue</w:t>
      </w:r>
    </w:p>
    <w:p w14:paraId="727FDAA6"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4D31F9E6">
          <v:rect id="_x0000_i1034" alt="" style="width:468pt;height:.05pt;mso-width-percent:0;mso-height-percent:0;mso-width-percent:0;mso-height-percent:0" o:hralign="center" o:hrstd="t" o:hr="t" fillcolor="#a0a0a0" stroked="f"/>
        </w:pict>
      </w:r>
    </w:p>
    <w:p w14:paraId="2DF3FC8E"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Arcadian Management Services</w:t>
      </w:r>
    </w:p>
    <w:p w14:paraId="042C9CCB"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Manager, Revenue Recovery</w:t>
      </w:r>
    </w:p>
    <w:p w14:paraId="3E87DCFB" w14:textId="77777777" w:rsidR="007725D1" w:rsidRPr="007725D1" w:rsidRDefault="007725D1" w:rsidP="007725D1">
      <w:pPr>
        <w:numPr>
          <w:ilvl w:val="0"/>
          <w:numId w:val="8"/>
        </w:numPr>
        <w:spacing w:before="100" w:beforeAutospacing="1" w:after="100" w:afterAutospacing="1"/>
        <w:rPr>
          <w:rFonts w:ascii="Times New Roman" w:hAnsi="Times New Roman" w:cs="Times New Roman"/>
        </w:rPr>
      </w:pPr>
      <w:r w:rsidRPr="007725D1">
        <w:rPr>
          <w:rFonts w:ascii="Times New Roman" w:hAnsi="Times New Roman" w:cs="Times New Roman"/>
        </w:rPr>
        <w:t>Built and led revenue recovery department</w:t>
      </w:r>
    </w:p>
    <w:p w14:paraId="7D355CBA" w14:textId="77777777" w:rsidR="007725D1" w:rsidRPr="007725D1" w:rsidRDefault="007725D1" w:rsidP="007725D1">
      <w:pPr>
        <w:numPr>
          <w:ilvl w:val="0"/>
          <w:numId w:val="8"/>
        </w:numPr>
        <w:spacing w:before="100" w:beforeAutospacing="1" w:after="100" w:afterAutospacing="1"/>
        <w:rPr>
          <w:rFonts w:ascii="Times New Roman" w:hAnsi="Times New Roman" w:cs="Times New Roman"/>
        </w:rPr>
      </w:pPr>
      <w:r w:rsidRPr="007725D1">
        <w:rPr>
          <w:rFonts w:ascii="Times New Roman" w:hAnsi="Times New Roman" w:cs="Times New Roman"/>
        </w:rPr>
        <w:t>Implemented audit methodologies and cost containment strategies</w:t>
      </w:r>
    </w:p>
    <w:p w14:paraId="033339B8" w14:textId="77777777" w:rsidR="007725D1" w:rsidRPr="007725D1" w:rsidRDefault="007725D1" w:rsidP="007725D1">
      <w:pPr>
        <w:numPr>
          <w:ilvl w:val="0"/>
          <w:numId w:val="8"/>
        </w:numPr>
        <w:spacing w:before="100" w:beforeAutospacing="1" w:after="100" w:afterAutospacing="1"/>
        <w:rPr>
          <w:rFonts w:ascii="Times New Roman" w:hAnsi="Times New Roman" w:cs="Times New Roman"/>
        </w:rPr>
      </w:pPr>
      <w:r w:rsidRPr="007725D1">
        <w:rPr>
          <w:rFonts w:ascii="Times New Roman" w:hAnsi="Times New Roman" w:cs="Times New Roman"/>
        </w:rPr>
        <w:t>Recovered over $250,000 in non-capitated services</w:t>
      </w:r>
    </w:p>
    <w:p w14:paraId="5F39FBC4"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114CC174">
          <v:rect id="_x0000_i1033" alt="" style="width:468pt;height:.05pt;mso-width-percent:0;mso-height-percent:0;mso-width-percent:0;mso-height-percent:0" o:hralign="center" o:hrstd="t" o:hr="t" fillcolor="#a0a0a0" stroked="f"/>
        </w:pict>
      </w:r>
    </w:p>
    <w:p w14:paraId="4E7C89B0"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USC University Affiliates IPA</w:t>
      </w:r>
    </w:p>
    <w:p w14:paraId="1ABAFC9B"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Manager, Contractual Analysis &amp; Auditing</w:t>
      </w:r>
    </w:p>
    <w:p w14:paraId="12798DB8" w14:textId="77777777" w:rsidR="007725D1" w:rsidRPr="007725D1" w:rsidRDefault="007725D1" w:rsidP="007725D1">
      <w:pPr>
        <w:numPr>
          <w:ilvl w:val="0"/>
          <w:numId w:val="9"/>
        </w:numPr>
        <w:spacing w:before="100" w:beforeAutospacing="1" w:after="100" w:afterAutospacing="1"/>
        <w:rPr>
          <w:rFonts w:ascii="Times New Roman" w:hAnsi="Times New Roman" w:cs="Times New Roman"/>
        </w:rPr>
      </w:pPr>
      <w:r w:rsidRPr="007725D1">
        <w:rPr>
          <w:rFonts w:ascii="Times New Roman" w:hAnsi="Times New Roman" w:cs="Times New Roman"/>
        </w:rPr>
        <w:t>Led contract interpretation and compliance with CMS/DHS regulations</w:t>
      </w:r>
    </w:p>
    <w:p w14:paraId="5C3E834A" w14:textId="77777777" w:rsidR="007725D1" w:rsidRPr="007725D1" w:rsidRDefault="007725D1" w:rsidP="007725D1">
      <w:pPr>
        <w:numPr>
          <w:ilvl w:val="0"/>
          <w:numId w:val="9"/>
        </w:numPr>
        <w:spacing w:before="100" w:beforeAutospacing="1" w:after="100" w:afterAutospacing="1"/>
        <w:rPr>
          <w:rFonts w:ascii="Times New Roman" w:hAnsi="Times New Roman" w:cs="Times New Roman"/>
        </w:rPr>
      </w:pPr>
      <w:r w:rsidRPr="007725D1">
        <w:rPr>
          <w:rFonts w:ascii="Times New Roman" w:hAnsi="Times New Roman" w:cs="Times New Roman"/>
        </w:rPr>
        <w:t>Developed policies for risk pools, stop-loss, and benefit structures</w:t>
      </w:r>
    </w:p>
    <w:p w14:paraId="653F979B" w14:textId="77777777" w:rsidR="007725D1" w:rsidRPr="007725D1" w:rsidRDefault="007725D1" w:rsidP="007725D1">
      <w:pPr>
        <w:numPr>
          <w:ilvl w:val="0"/>
          <w:numId w:val="9"/>
        </w:numPr>
        <w:spacing w:before="100" w:beforeAutospacing="1" w:after="100" w:afterAutospacing="1"/>
        <w:rPr>
          <w:rFonts w:ascii="Times New Roman" w:hAnsi="Times New Roman" w:cs="Times New Roman"/>
        </w:rPr>
      </w:pPr>
      <w:r w:rsidRPr="007725D1">
        <w:rPr>
          <w:rFonts w:ascii="Times New Roman" w:hAnsi="Times New Roman" w:cs="Times New Roman"/>
        </w:rPr>
        <w:t>Conducted high-level audits recovering over $1.2 million</w:t>
      </w:r>
    </w:p>
    <w:p w14:paraId="53A7FA76"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48A62AE6">
          <v:rect id="_x0000_i1032" alt="" style="width:468pt;height:.05pt;mso-width-percent:0;mso-height-percent:0;mso-width-percent:0;mso-height-percent:0" o:hralign="center" o:hrstd="t" o:hr="t" fillcolor="#a0a0a0" stroked="f"/>
        </w:pict>
      </w:r>
    </w:p>
    <w:p w14:paraId="6E4062F2"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proofErr w:type="spellStart"/>
      <w:r w:rsidRPr="007725D1">
        <w:rPr>
          <w:rFonts w:ascii="Times New Roman" w:hAnsi="Times New Roman" w:cs="Times New Roman"/>
          <w:b/>
          <w:bCs/>
          <w:sz w:val="27"/>
          <w:szCs w:val="27"/>
        </w:rPr>
        <w:t>ProMed</w:t>
      </w:r>
      <w:proofErr w:type="spellEnd"/>
      <w:r w:rsidRPr="007725D1">
        <w:rPr>
          <w:rFonts w:ascii="Times New Roman" w:hAnsi="Times New Roman" w:cs="Times New Roman"/>
          <w:b/>
          <w:bCs/>
          <w:sz w:val="27"/>
          <w:szCs w:val="27"/>
        </w:rPr>
        <w:t xml:space="preserve"> Healthcare Administrators</w:t>
      </w:r>
    </w:p>
    <w:p w14:paraId="3720D533"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Manager, Revenue Recovery / IT / IS Supervisor</w:t>
      </w:r>
    </w:p>
    <w:p w14:paraId="019FE5F7" w14:textId="77777777" w:rsidR="007725D1" w:rsidRPr="007725D1" w:rsidRDefault="007725D1" w:rsidP="007725D1">
      <w:pPr>
        <w:numPr>
          <w:ilvl w:val="0"/>
          <w:numId w:val="10"/>
        </w:numPr>
        <w:spacing w:before="100" w:beforeAutospacing="1" w:after="100" w:afterAutospacing="1"/>
        <w:rPr>
          <w:rFonts w:ascii="Times New Roman" w:hAnsi="Times New Roman" w:cs="Times New Roman"/>
        </w:rPr>
      </w:pPr>
      <w:r w:rsidRPr="007725D1">
        <w:rPr>
          <w:rFonts w:ascii="Times New Roman" w:hAnsi="Times New Roman" w:cs="Times New Roman"/>
        </w:rPr>
        <w:t>Directed recovery operations involving risk pools, liens, and insured services</w:t>
      </w:r>
    </w:p>
    <w:p w14:paraId="6E45DF70" w14:textId="77777777" w:rsidR="007725D1" w:rsidRPr="007725D1" w:rsidRDefault="007725D1" w:rsidP="007725D1">
      <w:pPr>
        <w:numPr>
          <w:ilvl w:val="0"/>
          <w:numId w:val="10"/>
        </w:numPr>
        <w:spacing w:before="100" w:beforeAutospacing="1" w:after="100" w:afterAutospacing="1"/>
        <w:rPr>
          <w:rFonts w:ascii="Times New Roman" w:hAnsi="Times New Roman" w:cs="Times New Roman"/>
        </w:rPr>
      </w:pPr>
      <w:r w:rsidRPr="007725D1">
        <w:rPr>
          <w:rFonts w:ascii="Times New Roman" w:hAnsi="Times New Roman" w:cs="Times New Roman"/>
        </w:rPr>
        <w:t>Achieved $1.4 million in revenue recovery and cost savings</w:t>
      </w:r>
    </w:p>
    <w:p w14:paraId="0999BA10" w14:textId="77777777" w:rsidR="007725D1" w:rsidRPr="007725D1" w:rsidRDefault="007725D1" w:rsidP="007725D1">
      <w:pPr>
        <w:numPr>
          <w:ilvl w:val="0"/>
          <w:numId w:val="10"/>
        </w:numPr>
        <w:spacing w:before="100" w:beforeAutospacing="1" w:after="100" w:afterAutospacing="1"/>
        <w:rPr>
          <w:rFonts w:ascii="Times New Roman" w:hAnsi="Times New Roman" w:cs="Times New Roman"/>
        </w:rPr>
      </w:pPr>
      <w:r w:rsidRPr="007725D1">
        <w:rPr>
          <w:rFonts w:ascii="Times New Roman" w:hAnsi="Times New Roman" w:cs="Times New Roman"/>
        </w:rPr>
        <w:lastRenderedPageBreak/>
        <w:t>Promoted to financial analyst and IT leadership roles</w:t>
      </w:r>
    </w:p>
    <w:p w14:paraId="6983A5BE"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29C89664">
          <v:rect id="_x0000_i1031" alt="" style="width:468pt;height:.05pt;mso-width-percent:0;mso-height-percent:0;mso-width-percent:0;mso-height-percent:0" o:hralign="center" o:hrstd="t" o:hr="t" fillcolor="#a0a0a0" stroked="f"/>
        </w:pict>
      </w:r>
    </w:p>
    <w:p w14:paraId="7A7A511F"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proofErr w:type="spellStart"/>
      <w:r w:rsidRPr="007725D1">
        <w:rPr>
          <w:rFonts w:ascii="Times New Roman" w:hAnsi="Times New Roman" w:cs="Times New Roman"/>
          <w:b/>
          <w:bCs/>
          <w:sz w:val="27"/>
          <w:szCs w:val="27"/>
        </w:rPr>
        <w:t>MedPartners</w:t>
      </w:r>
      <w:proofErr w:type="spellEnd"/>
      <w:r w:rsidRPr="007725D1">
        <w:rPr>
          <w:rFonts w:ascii="Times New Roman" w:hAnsi="Times New Roman" w:cs="Times New Roman"/>
          <w:b/>
          <w:bCs/>
          <w:sz w:val="27"/>
          <w:szCs w:val="27"/>
        </w:rPr>
        <w:t xml:space="preserve"> / Pacific Physician Services / US Family Care</w:t>
      </w:r>
    </w:p>
    <w:p w14:paraId="41871011"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Supervisor – HMO Recovery / Customer Service</w:t>
      </w:r>
    </w:p>
    <w:p w14:paraId="7580351D" w14:textId="77777777" w:rsidR="007725D1" w:rsidRPr="007725D1" w:rsidRDefault="007725D1" w:rsidP="007725D1">
      <w:pPr>
        <w:numPr>
          <w:ilvl w:val="0"/>
          <w:numId w:val="11"/>
        </w:numPr>
        <w:spacing w:before="100" w:beforeAutospacing="1" w:after="100" w:afterAutospacing="1"/>
        <w:rPr>
          <w:rFonts w:ascii="Times New Roman" w:hAnsi="Times New Roman" w:cs="Times New Roman"/>
        </w:rPr>
      </w:pPr>
      <w:r w:rsidRPr="007725D1">
        <w:rPr>
          <w:rFonts w:ascii="Times New Roman" w:hAnsi="Times New Roman" w:cs="Times New Roman"/>
        </w:rPr>
        <w:t xml:space="preserve">Oversaw recovery operations for </w:t>
      </w:r>
      <w:proofErr w:type="gramStart"/>
      <w:r w:rsidRPr="007725D1">
        <w:rPr>
          <w:rFonts w:ascii="Times New Roman" w:hAnsi="Times New Roman" w:cs="Times New Roman"/>
        </w:rPr>
        <w:t>large capitated</w:t>
      </w:r>
      <w:proofErr w:type="gramEnd"/>
      <w:r w:rsidRPr="007725D1">
        <w:rPr>
          <w:rFonts w:ascii="Times New Roman" w:hAnsi="Times New Roman" w:cs="Times New Roman"/>
        </w:rPr>
        <w:t xml:space="preserve"> patient population (180,000+)</w:t>
      </w:r>
    </w:p>
    <w:p w14:paraId="52828AAD" w14:textId="77777777" w:rsidR="007725D1" w:rsidRPr="007725D1" w:rsidRDefault="007725D1" w:rsidP="007725D1">
      <w:pPr>
        <w:numPr>
          <w:ilvl w:val="0"/>
          <w:numId w:val="11"/>
        </w:numPr>
        <w:spacing w:before="100" w:beforeAutospacing="1" w:after="100" w:afterAutospacing="1"/>
        <w:rPr>
          <w:rFonts w:ascii="Times New Roman" w:hAnsi="Times New Roman" w:cs="Times New Roman"/>
        </w:rPr>
      </w:pPr>
      <w:r w:rsidRPr="007725D1">
        <w:rPr>
          <w:rFonts w:ascii="Times New Roman" w:hAnsi="Times New Roman" w:cs="Times New Roman"/>
        </w:rPr>
        <w:t>Managed shared risk, stop-loss, and COB operations</w:t>
      </w:r>
    </w:p>
    <w:p w14:paraId="750EF353"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0F3E5632">
          <v:rect id="_x0000_i1030" alt="" style="width:468pt;height:.05pt;mso-width-percent:0;mso-height-percent:0;mso-width-percent:0;mso-height-percent:0" o:hralign="center" o:hrstd="t" o:hr="t" fillcolor="#a0a0a0" stroked="f"/>
        </w:pict>
      </w:r>
    </w:p>
    <w:p w14:paraId="5999A73E" w14:textId="77777777" w:rsidR="007725D1" w:rsidRPr="007725D1" w:rsidRDefault="007725D1" w:rsidP="007725D1">
      <w:pPr>
        <w:spacing w:before="100" w:beforeAutospacing="1" w:after="100" w:afterAutospacing="1"/>
        <w:outlineLvl w:val="2"/>
        <w:rPr>
          <w:rFonts w:ascii="Times New Roman" w:hAnsi="Times New Roman" w:cs="Times New Roman"/>
          <w:b/>
          <w:bCs/>
          <w:sz w:val="27"/>
          <w:szCs w:val="27"/>
        </w:rPr>
      </w:pPr>
      <w:r w:rsidRPr="007725D1">
        <w:rPr>
          <w:rFonts w:ascii="Times New Roman" w:hAnsi="Times New Roman" w:cs="Times New Roman"/>
          <w:b/>
          <w:bCs/>
          <w:sz w:val="27"/>
          <w:szCs w:val="27"/>
        </w:rPr>
        <w:t>Aetna Insurance Company</w:t>
      </w:r>
    </w:p>
    <w:p w14:paraId="76B1EB88"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b/>
          <w:bCs/>
        </w:rPr>
        <w:t>Senior Claims Adjudicator / Auditor / Trainer</w:t>
      </w:r>
    </w:p>
    <w:p w14:paraId="22A5C3D5" w14:textId="77777777" w:rsidR="007725D1" w:rsidRPr="007725D1" w:rsidRDefault="007725D1" w:rsidP="007725D1">
      <w:pPr>
        <w:numPr>
          <w:ilvl w:val="0"/>
          <w:numId w:val="12"/>
        </w:numPr>
        <w:spacing w:before="100" w:beforeAutospacing="1" w:after="100" w:afterAutospacing="1"/>
        <w:rPr>
          <w:rFonts w:ascii="Times New Roman" w:hAnsi="Times New Roman" w:cs="Times New Roman"/>
        </w:rPr>
      </w:pPr>
      <w:r w:rsidRPr="007725D1">
        <w:rPr>
          <w:rFonts w:ascii="Times New Roman" w:hAnsi="Times New Roman" w:cs="Times New Roman"/>
        </w:rPr>
        <w:t>Top-performing examiner; ranked in top 10 out of 3,000</w:t>
      </w:r>
    </w:p>
    <w:p w14:paraId="4C568CC8" w14:textId="77777777" w:rsidR="007725D1" w:rsidRPr="007725D1" w:rsidRDefault="007725D1" w:rsidP="007725D1">
      <w:pPr>
        <w:numPr>
          <w:ilvl w:val="0"/>
          <w:numId w:val="12"/>
        </w:numPr>
        <w:spacing w:before="100" w:beforeAutospacing="1" w:after="100" w:afterAutospacing="1"/>
        <w:rPr>
          <w:rFonts w:ascii="Times New Roman" w:hAnsi="Times New Roman" w:cs="Times New Roman"/>
        </w:rPr>
      </w:pPr>
      <w:r w:rsidRPr="007725D1">
        <w:rPr>
          <w:rFonts w:ascii="Times New Roman" w:hAnsi="Times New Roman" w:cs="Times New Roman"/>
        </w:rPr>
        <w:t>Fastest advancement to Senior Examiner level</w:t>
      </w:r>
    </w:p>
    <w:p w14:paraId="2F63BCA8" w14:textId="77777777" w:rsidR="007725D1" w:rsidRPr="007725D1" w:rsidRDefault="007725D1" w:rsidP="007725D1">
      <w:pPr>
        <w:numPr>
          <w:ilvl w:val="0"/>
          <w:numId w:val="12"/>
        </w:numPr>
        <w:spacing w:before="100" w:beforeAutospacing="1" w:after="100" w:afterAutospacing="1"/>
        <w:rPr>
          <w:rFonts w:ascii="Times New Roman" w:hAnsi="Times New Roman" w:cs="Times New Roman"/>
        </w:rPr>
      </w:pPr>
      <w:r w:rsidRPr="007725D1">
        <w:rPr>
          <w:rFonts w:ascii="Times New Roman" w:hAnsi="Times New Roman" w:cs="Times New Roman"/>
        </w:rPr>
        <w:t>Specialized in claims adjudication and audit processes</w:t>
      </w:r>
    </w:p>
    <w:p w14:paraId="2049575E"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657D63CD">
          <v:rect id="_x0000_i1029" alt="" style="width:468pt;height:.05pt;mso-width-percent:0;mso-height-percent:0;mso-width-percent:0;mso-height-percent:0" o:hralign="center" o:hrstd="t" o:hr="t" fillcolor="#a0a0a0" stroked="f"/>
        </w:pict>
      </w:r>
    </w:p>
    <w:p w14:paraId="38A97EED"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CERTIFICATIONS</w:t>
      </w:r>
    </w:p>
    <w:p w14:paraId="59771267"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Professional Coder (CPC)</w:t>
      </w:r>
    </w:p>
    <w:p w14:paraId="4809DE1F"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Medical Reimbursement Specialist (CMRS)</w:t>
      </w:r>
    </w:p>
    <w:p w14:paraId="3D9B29E6"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Claims Auditor</w:t>
      </w:r>
    </w:p>
    <w:p w14:paraId="04A31FD8"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Claims Examiner</w:t>
      </w:r>
    </w:p>
    <w:p w14:paraId="0109594B"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HIPAA Professional</w:t>
      </w:r>
    </w:p>
    <w:p w14:paraId="5EB35215"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Compliance Officer</w:t>
      </w:r>
    </w:p>
    <w:p w14:paraId="2060E68B"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Medical Claims Biller</w:t>
      </w:r>
    </w:p>
    <w:p w14:paraId="40792B8D"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Certified CE Educator (California Board of Chiropractic Examiners)</w:t>
      </w:r>
    </w:p>
    <w:p w14:paraId="03889DE3" w14:textId="77777777" w:rsidR="007725D1" w:rsidRPr="007725D1" w:rsidRDefault="007725D1" w:rsidP="007725D1">
      <w:pPr>
        <w:numPr>
          <w:ilvl w:val="0"/>
          <w:numId w:val="13"/>
        </w:numPr>
        <w:spacing w:before="100" w:beforeAutospacing="1" w:after="100" w:afterAutospacing="1"/>
        <w:rPr>
          <w:rFonts w:ascii="Times New Roman" w:hAnsi="Times New Roman" w:cs="Times New Roman"/>
        </w:rPr>
      </w:pPr>
      <w:r w:rsidRPr="007725D1">
        <w:rPr>
          <w:rFonts w:ascii="Times New Roman" w:hAnsi="Times New Roman" w:cs="Times New Roman"/>
        </w:rPr>
        <w:t>Additional industry certifications</w:t>
      </w:r>
    </w:p>
    <w:p w14:paraId="2B1DC2E4"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166A8CB0">
          <v:rect id="_x0000_i1028" alt="" style="width:468pt;height:.05pt;mso-width-percent:0;mso-height-percent:0;mso-width-percent:0;mso-height-percent:0" o:hralign="center" o:hrstd="t" o:hr="t" fillcolor="#a0a0a0" stroked="f"/>
        </w:pict>
      </w:r>
    </w:p>
    <w:p w14:paraId="2FCA6BDD"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EXPERT WITNESS EXPERIENCE</w:t>
      </w:r>
    </w:p>
    <w:p w14:paraId="0398B842" w14:textId="77777777" w:rsidR="007725D1" w:rsidRPr="007725D1" w:rsidRDefault="007725D1" w:rsidP="007725D1">
      <w:pPr>
        <w:numPr>
          <w:ilvl w:val="0"/>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Registered Medical Billing Expert Witness</w:t>
      </w:r>
    </w:p>
    <w:p w14:paraId="14E16D95" w14:textId="77777777" w:rsidR="007725D1" w:rsidRPr="007725D1" w:rsidRDefault="007725D1" w:rsidP="007725D1">
      <w:pPr>
        <w:numPr>
          <w:ilvl w:val="0"/>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Testified in depositions and trial proceedings</w:t>
      </w:r>
    </w:p>
    <w:p w14:paraId="2735AA0C" w14:textId="77777777" w:rsidR="007725D1" w:rsidRPr="007725D1" w:rsidRDefault="007725D1" w:rsidP="007725D1">
      <w:pPr>
        <w:numPr>
          <w:ilvl w:val="0"/>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Retained by both plaintiff and defense counsel</w:t>
      </w:r>
    </w:p>
    <w:p w14:paraId="50C95BAF" w14:textId="77777777" w:rsidR="007725D1" w:rsidRPr="007725D1" w:rsidRDefault="007725D1" w:rsidP="007725D1">
      <w:pPr>
        <w:numPr>
          <w:ilvl w:val="0"/>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Engaged through:</w:t>
      </w:r>
    </w:p>
    <w:p w14:paraId="57CF33CC" w14:textId="77777777" w:rsidR="007725D1" w:rsidRPr="007725D1" w:rsidRDefault="007725D1" w:rsidP="007725D1">
      <w:pPr>
        <w:numPr>
          <w:ilvl w:val="1"/>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Expert Institute</w:t>
      </w:r>
    </w:p>
    <w:p w14:paraId="4302F02D" w14:textId="77777777" w:rsidR="007725D1" w:rsidRPr="007725D1" w:rsidRDefault="007725D1" w:rsidP="007725D1">
      <w:pPr>
        <w:numPr>
          <w:ilvl w:val="1"/>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Thomson Reuters</w:t>
      </w:r>
    </w:p>
    <w:p w14:paraId="62C4CABC" w14:textId="77777777" w:rsidR="007725D1" w:rsidRPr="007725D1" w:rsidRDefault="007725D1" w:rsidP="007725D1">
      <w:pPr>
        <w:numPr>
          <w:ilvl w:val="1"/>
          <w:numId w:val="14"/>
        </w:numPr>
        <w:spacing w:before="100" w:beforeAutospacing="1" w:after="100" w:afterAutospacing="1"/>
        <w:rPr>
          <w:rFonts w:ascii="Times New Roman" w:hAnsi="Times New Roman" w:cs="Times New Roman"/>
        </w:rPr>
      </w:pPr>
      <w:r w:rsidRPr="007725D1">
        <w:rPr>
          <w:rFonts w:ascii="Times New Roman" w:hAnsi="Times New Roman" w:cs="Times New Roman"/>
        </w:rPr>
        <w:lastRenderedPageBreak/>
        <w:t>Round Table Group</w:t>
      </w:r>
    </w:p>
    <w:p w14:paraId="32A266B7" w14:textId="77777777" w:rsidR="007725D1" w:rsidRPr="007725D1" w:rsidRDefault="007725D1" w:rsidP="007725D1">
      <w:pPr>
        <w:numPr>
          <w:ilvl w:val="1"/>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SEAK</w:t>
      </w:r>
    </w:p>
    <w:p w14:paraId="1B4B3AD9" w14:textId="77777777" w:rsidR="007725D1" w:rsidRPr="007725D1" w:rsidRDefault="007725D1" w:rsidP="007725D1">
      <w:pPr>
        <w:numPr>
          <w:ilvl w:val="1"/>
          <w:numId w:val="14"/>
        </w:numPr>
        <w:spacing w:before="100" w:beforeAutospacing="1" w:after="100" w:afterAutospacing="1"/>
        <w:rPr>
          <w:rFonts w:ascii="Times New Roman" w:hAnsi="Times New Roman" w:cs="Times New Roman"/>
        </w:rPr>
      </w:pPr>
      <w:r w:rsidRPr="007725D1">
        <w:rPr>
          <w:rFonts w:ascii="Times New Roman" w:hAnsi="Times New Roman" w:cs="Times New Roman"/>
        </w:rPr>
        <w:t>Legal Experts Direct (Preferred Status)</w:t>
      </w:r>
    </w:p>
    <w:p w14:paraId="301D4B6F"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10A3EDEB">
          <v:rect id="_x0000_i1027" alt="" style="width:468pt;height:.05pt;mso-width-percent:0;mso-height-percent:0;mso-width-percent:0;mso-height-percent:0" o:hralign="center" o:hrstd="t" o:hr="t" fillcolor="#a0a0a0" stroked="f"/>
        </w:pict>
      </w:r>
    </w:p>
    <w:p w14:paraId="6EE3A86E"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PROFESSIONAL AFFILIATIONS</w:t>
      </w:r>
    </w:p>
    <w:p w14:paraId="2EC16C43"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California Chiropractic Association (CCA) – Former Co-Chair, Managed Care Committee</w:t>
      </w:r>
    </w:p>
    <w:p w14:paraId="4D631A2F"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International Chiropractic Association of California (ICAC)</w:t>
      </w:r>
    </w:p>
    <w:p w14:paraId="6DF060BA"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American Academy of Professional Coders (AAPC)</w:t>
      </w:r>
    </w:p>
    <w:p w14:paraId="39BBAFBD"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American Medical Billing Association (AMBA)</w:t>
      </w:r>
    </w:p>
    <w:p w14:paraId="7051BC59"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Healthcare Billing &amp; Management Association (HBMA)</w:t>
      </w:r>
    </w:p>
    <w:p w14:paraId="0AB3A89B" w14:textId="77777777" w:rsidR="007725D1" w:rsidRPr="007725D1" w:rsidRDefault="007725D1" w:rsidP="007725D1">
      <w:pPr>
        <w:numPr>
          <w:ilvl w:val="0"/>
          <w:numId w:val="15"/>
        </w:numPr>
        <w:spacing w:before="100" w:beforeAutospacing="1" w:after="100" w:afterAutospacing="1"/>
        <w:rPr>
          <w:rFonts w:ascii="Times New Roman" w:hAnsi="Times New Roman" w:cs="Times New Roman"/>
        </w:rPr>
      </w:pPr>
      <w:r w:rsidRPr="007725D1">
        <w:rPr>
          <w:rFonts w:ascii="Times New Roman" w:hAnsi="Times New Roman" w:cs="Times New Roman"/>
        </w:rPr>
        <w:t>Medical Group Management Association (MGMA)</w:t>
      </w:r>
    </w:p>
    <w:p w14:paraId="295808F8"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7BEB09C3">
          <v:rect id="_x0000_i1026" alt="" style="width:468pt;height:.05pt;mso-width-percent:0;mso-height-percent:0;mso-width-percent:0;mso-height-percent:0" o:hralign="center" o:hrstd="t" o:hr="t" fillcolor="#a0a0a0" stroked="f"/>
        </w:pict>
      </w:r>
    </w:p>
    <w:p w14:paraId="315CD096"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LECTURES &amp; PRESENTATIONS</w:t>
      </w:r>
    </w:p>
    <w:p w14:paraId="50BAD0B3" w14:textId="77777777" w:rsidR="007725D1" w:rsidRPr="007725D1" w:rsidRDefault="007725D1" w:rsidP="007725D1">
      <w:pPr>
        <w:numPr>
          <w:ilvl w:val="0"/>
          <w:numId w:val="16"/>
        </w:numPr>
        <w:spacing w:before="100" w:beforeAutospacing="1" w:after="100" w:afterAutospacing="1"/>
        <w:rPr>
          <w:rFonts w:ascii="Times New Roman" w:hAnsi="Times New Roman" w:cs="Times New Roman"/>
        </w:rPr>
      </w:pPr>
      <w:r w:rsidRPr="007725D1">
        <w:rPr>
          <w:rFonts w:ascii="Times New Roman" w:hAnsi="Times New Roman" w:cs="Times New Roman"/>
        </w:rPr>
        <w:t>American Association of Orthopaedic Surgeons (AAOS) – Presenter</w:t>
      </w:r>
    </w:p>
    <w:p w14:paraId="29E54470" w14:textId="77777777" w:rsidR="007725D1" w:rsidRPr="007725D1" w:rsidRDefault="007725D1" w:rsidP="007725D1">
      <w:pPr>
        <w:numPr>
          <w:ilvl w:val="0"/>
          <w:numId w:val="16"/>
        </w:numPr>
        <w:spacing w:before="100" w:beforeAutospacing="1" w:after="100" w:afterAutospacing="1"/>
        <w:rPr>
          <w:rFonts w:ascii="Times New Roman" w:hAnsi="Times New Roman" w:cs="Times New Roman"/>
        </w:rPr>
      </w:pPr>
      <w:r w:rsidRPr="007725D1">
        <w:rPr>
          <w:rFonts w:ascii="Times New Roman" w:hAnsi="Times New Roman" w:cs="Times New Roman"/>
        </w:rPr>
        <w:t>Foundation for Chiropractic Progress – Featured Lecturer</w:t>
      </w:r>
    </w:p>
    <w:p w14:paraId="5B7F3542" w14:textId="77777777" w:rsidR="007725D1" w:rsidRPr="007725D1" w:rsidRDefault="007725D1" w:rsidP="007725D1">
      <w:pPr>
        <w:numPr>
          <w:ilvl w:val="0"/>
          <w:numId w:val="16"/>
        </w:numPr>
        <w:spacing w:before="100" w:beforeAutospacing="1" w:after="100" w:afterAutospacing="1"/>
        <w:rPr>
          <w:rFonts w:ascii="Times New Roman" w:hAnsi="Times New Roman" w:cs="Times New Roman"/>
        </w:rPr>
      </w:pPr>
      <w:r w:rsidRPr="007725D1">
        <w:rPr>
          <w:rFonts w:ascii="Times New Roman" w:hAnsi="Times New Roman" w:cs="Times New Roman"/>
        </w:rPr>
        <w:t>Southern California University of Health Sciences – ICD-10 education</w:t>
      </w:r>
    </w:p>
    <w:p w14:paraId="3A2B0423" w14:textId="77777777" w:rsidR="007725D1" w:rsidRPr="007725D1" w:rsidRDefault="007725D1" w:rsidP="007725D1">
      <w:pPr>
        <w:numPr>
          <w:ilvl w:val="0"/>
          <w:numId w:val="16"/>
        </w:numPr>
        <w:spacing w:before="100" w:beforeAutospacing="1" w:after="100" w:afterAutospacing="1"/>
        <w:rPr>
          <w:rFonts w:ascii="Times New Roman" w:hAnsi="Times New Roman" w:cs="Times New Roman"/>
        </w:rPr>
      </w:pPr>
      <w:r w:rsidRPr="007725D1">
        <w:rPr>
          <w:rFonts w:ascii="Times New Roman" w:hAnsi="Times New Roman" w:cs="Times New Roman"/>
        </w:rPr>
        <w:t>International Chiropractic Association of California – CEU instructor</w:t>
      </w:r>
    </w:p>
    <w:p w14:paraId="1F4A806B" w14:textId="77777777" w:rsidR="007725D1" w:rsidRPr="007725D1" w:rsidRDefault="007725D1" w:rsidP="007725D1">
      <w:pPr>
        <w:numPr>
          <w:ilvl w:val="0"/>
          <w:numId w:val="16"/>
        </w:numPr>
        <w:spacing w:before="100" w:beforeAutospacing="1" w:after="100" w:afterAutospacing="1"/>
        <w:rPr>
          <w:rFonts w:ascii="Times New Roman" w:hAnsi="Times New Roman" w:cs="Times New Roman"/>
        </w:rPr>
      </w:pPr>
      <w:r w:rsidRPr="007725D1">
        <w:rPr>
          <w:rFonts w:ascii="Times New Roman" w:hAnsi="Times New Roman" w:cs="Times New Roman"/>
        </w:rPr>
        <w:t>Multiple seminars on billing compliance, appeals, and payer practices</w:t>
      </w:r>
    </w:p>
    <w:p w14:paraId="082D4A36" w14:textId="77777777" w:rsidR="007725D1" w:rsidRPr="007725D1" w:rsidRDefault="008A55D5" w:rsidP="007725D1">
      <w:pPr>
        <w:rPr>
          <w:rFonts w:ascii="Times New Roman" w:hAnsi="Times New Roman" w:cs="Times New Roman"/>
        </w:rPr>
      </w:pPr>
      <w:r w:rsidRPr="007725D1">
        <w:rPr>
          <w:rFonts w:ascii="Times New Roman" w:hAnsi="Times New Roman" w:cs="Times New Roman"/>
          <w:noProof/>
        </w:rPr>
        <w:pict w14:anchorId="02E2834B">
          <v:rect id="_x0000_i1025" alt="" style="width:468pt;height:.05pt;mso-width-percent:0;mso-height-percent:0;mso-width-percent:0;mso-height-percent:0" o:hralign="center" o:hrstd="t" o:hr="t" fillcolor="#a0a0a0" stroked="f"/>
        </w:pict>
      </w:r>
    </w:p>
    <w:p w14:paraId="4C84BC14" w14:textId="77777777" w:rsidR="007725D1" w:rsidRPr="007725D1" w:rsidRDefault="007725D1" w:rsidP="007725D1">
      <w:pPr>
        <w:spacing w:before="100" w:beforeAutospacing="1" w:after="100" w:afterAutospacing="1"/>
        <w:outlineLvl w:val="1"/>
        <w:rPr>
          <w:rFonts w:ascii="Times New Roman" w:hAnsi="Times New Roman" w:cs="Times New Roman"/>
          <w:b/>
          <w:bCs/>
          <w:sz w:val="36"/>
          <w:szCs w:val="36"/>
        </w:rPr>
      </w:pPr>
      <w:r w:rsidRPr="007725D1">
        <w:rPr>
          <w:rFonts w:ascii="Times New Roman" w:hAnsi="Times New Roman" w:cs="Times New Roman"/>
          <w:b/>
          <w:bCs/>
          <w:sz w:val="36"/>
          <w:szCs w:val="36"/>
        </w:rPr>
        <w:t>METHODOLOGY</w:t>
      </w:r>
    </w:p>
    <w:p w14:paraId="1B302987" w14:textId="77777777" w:rsidR="007725D1" w:rsidRPr="007725D1" w:rsidRDefault="007725D1" w:rsidP="007725D1">
      <w:pPr>
        <w:spacing w:before="100" w:beforeAutospacing="1" w:after="100" w:afterAutospacing="1"/>
        <w:rPr>
          <w:rFonts w:ascii="Times New Roman" w:hAnsi="Times New Roman" w:cs="Times New Roman"/>
        </w:rPr>
      </w:pPr>
      <w:r w:rsidRPr="007725D1">
        <w:rPr>
          <w:rFonts w:ascii="Times New Roman" w:hAnsi="Times New Roman" w:cs="Times New Roman"/>
        </w:rPr>
        <w:t>Expert opinions are based on industry standards, regulatory guidance, and systematic analysis of billing records, payer policies, fee schedule benchmarks, and accepted reimbursement methodologies. All analyses are conducted using consistent and replicable frameworks aligned with healthcare industry practices.</w:t>
      </w:r>
    </w:p>
    <w:p w14:paraId="6A9E7510" w14:textId="77777777" w:rsidR="00533D71" w:rsidRDefault="00533D71"/>
    <w:sectPr w:rsidR="00533D71" w:rsidSect="00364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E6A"/>
    <w:multiLevelType w:val="multilevel"/>
    <w:tmpl w:val="649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158C9"/>
    <w:multiLevelType w:val="multilevel"/>
    <w:tmpl w:val="9FD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63E9"/>
    <w:multiLevelType w:val="multilevel"/>
    <w:tmpl w:val="42E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8594F"/>
    <w:multiLevelType w:val="multilevel"/>
    <w:tmpl w:val="D81A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B25E6"/>
    <w:multiLevelType w:val="multilevel"/>
    <w:tmpl w:val="31D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358B3"/>
    <w:multiLevelType w:val="multilevel"/>
    <w:tmpl w:val="148E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517B7"/>
    <w:multiLevelType w:val="multilevel"/>
    <w:tmpl w:val="12D4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3CB4"/>
    <w:multiLevelType w:val="multilevel"/>
    <w:tmpl w:val="1B4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44865"/>
    <w:multiLevelType w:val="multilevel"/>
    <w:tmpl w:val="034E3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C2354"/>
    <w:multiLevelType w:val="multilevel"/>
    <w:tmpl w:val="330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B6261"/>
    <w:multiLevelType w:val="multilevel"/>
    <w:tmpl w:val="D30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A1251"/>
    <w:multiLevelType w:val="multilevel"/>
    <w:tmpl w:val="CC3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92FBB"/>
    <w:multiLevelType w:val="multilevel"/>
    <w:tmpl w:val="C0D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71D91"/>
    <w:multiLevelType w:val="multilevel"/>
    <w:tmpl w:val="F1E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13F11"/>
    <w:multiLevelType w:val="multilevel"/>
    <w:tmpl w:val="457A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D65E1"/>
    <w:multiLevelType w:val="multilevel"/>
    <w:tmpl w:val="65D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508206">
    <w:abstractNumId w:val="1"/>
  </w:num>
  <w:num w:numId="2" w16cid:durableId="2005277080">
    <w:abstractNumId w:val="3"/>
  </w:num>
  <w:num w:numId="3" w16cid:durableId="645740101">
    <w:abstractNumId w:val="2"/>
  </w:num>
  <w:num w:numId="4" w16cid:durableId="1145465875">
    <w:abstractNumId w:val="11"/>
  </w:num>
  <w:num w:numId="5" w16cid:durableId="477842323">
    <w:abstractNumId w:val="12"/>
  </w:num>
  <w:num w:numId="6" w16cid:durableId="825778356">
    <w:abstractNumId w:val="5"/>
  </w:num>
  <w:num w:numId="7" w16cid:durableId="624655822">
    <w:abstractNumId w:val="10"/>
  </w:num>
  <w:num w:numId="8" w16cid:durableId="1230076756">
    <w:abstractNumId w:val="7"/>
  </w:num>
  <w:num w:numId="9" w16cid:durableId="332535401">
    <w:abstractNumId w:val="4"/>
  </w:num>
  <w:num w:numId="10" w16cid:durableId="1021249722">
    <w:abstractNumId w:val="14"/>
  </w:num>
  <w:num w:numId="11" w16cid:durableId="1785031719">
    <w:abstractNumId w:val="15"/>
  </w:num>
  <w:num w:numId="12" w16cid:durableId="1331635165">
    <w:abstractNumId w:val="13"/>
  </w:num>
  <w:num w:numId="13" w16cid:durableId="1820345058">
    <w:abstractNumId w:val="6"/>
  </w:num>
  <w:num w:numId="14" w16cid:durableId="131607350">
    <w:abstractNumId w:val="8"/>
  </w:num>
  <w:num w:numId="15" w16cid:durableId="689722000">
    <w:abstractNumId w:val="0"/>
  </w:num>
  <w:num w:numId="16" w16cid:durableId="485584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D1"/>
    <w:rsid w:val="000A6A46"/>
    <w:rsid w:val="000B07C7"/>
    <w:rsid w:val="00364427"/>
    <w:rsid w:val="00533D71"/>
    <w:rsid w:val="00585A88"/>
    <w:rsid w:val="006B7493"/>
    <w:rsid w:val="007725D1"/>
    <w:rsid w:val="00812AEE"/>
    <w:rsid w:val="008A55D5"/>
    <w:rsid w:val="00BC70F7"/>
    <w:rsid w:val="00E80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2B90"/>
  <w15:chartTrackingRefBased/>
  <w15:docId w15:val="{61998C79-A73A-0940-9902-821AC1FF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2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2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2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5D1"/>
    <w:rPr>
      <w:rFonts w:eastAsiaTheme="majorEastAsia" w:cstheme="majorBidi"/>
      <w:color w:val="272727" w:themeColor="text1" w:themeTint="D8"/>
    </w:rPr>
  </w:style>
  <w:style w:type="paragraph" w:styleId="Title">
    <w:name w:val="Title"/>
    <w:basedOn w:val="Normal"/>
    <w:next w:val="Normal"/>
    <w:link w:val="TitleChar"/>
    <w:uiPriority w:val="10"/>
    <w:qFormat/>
    <w:rsid w:val="00772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5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25D1"/>
    <w:rPr>
      <w:i/>
      <w:iCs/>
      <w:color w:val="404040" w:themeColor="text1" w:themeTint="BF"/>
    </w:rPr>
  </w:style>
  <w:style w:type="paragraph" w:styleId="ListParagraph">
    <w:name w:val="List Paragraph"/>
    <w:basedOn w:val="Normal"/>
    <w:uiPriority w:val="34"/>
    <w:qFormat/>
    <w:rsid w:val="007725D1"/>
    <w:pPr>
      <w:ind w:left="720"/>
      <w:contextualSpacing/>
    </w:pPr>
  </w:style>
  <w:style w:type="character" w:styleId="IntenseEmphasis">
    <w:name w:val="Intense Emphasis"/>
    <w:basedOn w:val="DefaultParagraphFont"/>
    <w:uiPriority w:val="21"/>
    <w:qFormat/>
    <w:rsid w:val="007725D1"/>
    <w:rPr>
      <w:i/>
      <w:iCs/>
      <w:color w:val="0F4761" w:themeColor="accent1" w:themeShade="BF"/>
    </w:rPr>
  </w:style>
  <w:style w:type="paragraph" w:styleId="IntenseQuote">
    <w:name w:val="Intense Quote"/>
    <w:basedOn w:val="Normal"/>
    <w:next w:val="Normal"/>
    <w:link w:val="IntenseQuoteChar"/>
    <w:uiPriority w:val="30"/>
    <w:qFormat/>
    <w:rsid w:val="0077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5D1"/>
    <w:rPr>
      <w:i/>
      <w:iCs/>
      <w:color w:val="0F4761" w:themeColor="accent1" w:themeShade="BF"/>
    </w:rPr>
  </w:style>
  <w:style w:type="character" w:styleId="IntenseReference">
    <w:name w:val="Intense Reference"/>
    <w:basedOn w:val="DefaultParagraphFont"/>
    <w:uiPriority w:val="32"/>
    <w:qFormat/>
    <w:rsid w:val="007725D1"/>
    <w:rPr>
      <w:b/>
      <w:bCs/>
      <w:smallCaps/>
      <w:color w:val="0F4761" w:themeColor="accent1" w:themeShade="BF"/>
      <w:spacing w:val="5"/>
    </w:rPr>
  </w:style>
  <w:style w:type="character" w:styleId="Strong">
    <w:name w:val="Strong"/>
    <w:basedOn w:val="DefaultParagraphFont"/>
    <w:uiPriority w:val="22"/>
    <w:qFormat/>
    <w:rsid w:val="007725D1"/>
    <w:rPr>
      <w:b/>
      <w:bCs/>
    </w:rPr>
  </w:style>
  <w:style w:type="paragraph" w:styleId="NormalWeb">
    <w:name w:val="Normal (Web)"/>
    <w:basedOn w:val="Normal"/>
    <w:uiPriority w:val="99"/>
    <w:semiHidden/>
    <w:unhideWhenUsed/>
    <w:rsid w:val="007725D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Martinez</dc:creator>
  <cp:keywords/>
  <dc:description/>
  <cp:lastModifiedBy>David Martinez</cp:lastModifiedBy>
  <cp:revision>1</cp:revision>
  <dcterms:created xsi:type="dcterms:W3CDTF">2026-03-24T13:25:00Z</dcterms:created>
  <dcterms:modified xsi:type="dcterms:W3CDTF">2026-03-24T13:26:00Z</dcterms:modified>
</cp:coreProperties>
</file>