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Drew Bleicher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4055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Redwood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Avenue Apt #</w:t>
      </w:r>
      <w:r w:rsidDel="00000000" w:rsidR="00000000" w:rsidRPr="00000000">
        <w:rPr>
          <w:sz w:val="22"/>
          <w:szCs w:val="22"/>
          <w:rtl w:val="0"/>
        </w:rPr>
        <w:t xml:space="preserve">306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Los Angeles  CA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90066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</w:t>
        <w:tab/>
        <w:tab/>
        <w:t xml:space="preserve">           (305)</w:t>
      </w:r>
      <w:r w:rsidDel="00000000" w:rsidR="00000000" w:rsidRPr="00000000">
        <w:rPr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562-8707            </w:t>
      </w:r>
      <w:hyperlink r:id="rId6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drewbleicher@gmail.com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EDUCATION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Jackson Memorial Hospital</w:t>
        <w:tab/>
        <w:tab/>
        <w:tab/>
        <w:tab/>
        <w:tab/>
        <w:tab/>
        <w:tab/>
        <w:t xml:space="preserve">   July 2018 – July 2019</w:t>
      </w:r>
    </w:p>
    <w:p w:rsidR="00000000" w:rsidDel="00000000" w:rsidP="00000000" w:rsidRDefault="00000000" w:rsidRPr="00000000" w14:paraId="00000007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Interventional Radiology Fellow</w:t>
        <w:tab/>
        <w:tab/>
        <w:tab/>
        <w:tab/>
        <w:tab/>
        <w:tab/>
        <w:tab/>
        <w:t xml:space="preserve">          Miami, FL</w:t>
      </w:r>
    </w:p>
    <w:p w:rsidR="00000000" w:rsidDel="00000000" w:rsidP="00000000" w:rsidRDefault="00000000" w:rsidRPr="00000000" w14:paraId="00000008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Jackson Memorial Hospital </w:t>
        <w:tab/>
        <w:tab/>
        <w:tab/>
        <w:tab/>
        <w:tab/>
        <w:tab/>
        <w:tab/>
        <w:t xml:space="preserve">    July 2017-July 2018</w:t>
      </w:r>
    </w:p>
    <w:p w:rsidR="00000000" w:rsidDel="00000000" w:rsidP="00000000" w:rsidRDefault="00000000" w:rsidRPr="00000000" w14:paraId="0000000A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Neuroradiology Fellow              </w:t>
        <w:tab/>
        <w:tab/>
        <w:tab/>
        <w:tab/>
        <w:tab/>
        <w:tab/>
        <w:tab/>
        <w:tab/>
        <w:t xml:space="preserve">        Miami, FL</w:t>
      </w:r>
    </w:p>
    <w:p w:rsidR="00000000" w:rsidDel="00000000" w:rsidP="00000000" w:rsidRDefault="00000000" w:rsidRPr="00000000" w14:paraId="0000000B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Jackson Memorial Hospital </w:t>
        <w:tab/>
        <w:tab/>
        <w:tab/>
        <w:tab/>
        <w:tab/>
        <w:tab/>
        <w:tab/>
        <w:t xml:space="preserve">    July 2013 - July 2017</w:t>
      </w:r>
    </w:p>
    <w:p w:rsidR="00000000" w:rsidDel="00000000" w:rsidP="00000000" w:rsidRDefault="00000000" w:rsidRPr="00000000" w14:paraId="0000000D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Radiology Resident</w:t>
        <w:tab/>
        <w:tab/>
        <w:tab/>
        <w:tab/>
        <w:tab/>
        <w:tab/>
        <w:tab/>
        <w:tab/>
        <w:tab/>
        <w:t xml:space="preserve">         Miami, FL</w:t>
      </w:r>
    </w:p>
    <w:p w:rsidR="00000000" w:rsidDel="00000000" w:rsidP="00000000" w:rsidRDefault="00000000" w:rsidRPr="00000000" w14:paraId="0000000E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Emergency Room/Trauma - 6 month fellowship         </w:t>
        <w:tab/>
        <w:tab/>
        <w:tab/>
        <w:t xml:space="preserve">     </w:t>
        <w:tab/>
        <w:tab/>
        <w:t xml:space="preserve"> </w:t>
      </w:r>
    </w:p>
    <w:p w:rsidR="00000000" w:rsidDel="00000000" w:rsidP="00000000" w:rsidRDefault="00000000" w:rsidRPr="00000000" w14:paraId="0000000F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Jackson Memorial Hospital</w:t>
        <w:tab/>
        <w:tab/>
        <w:tab/>
        <w:tab/>
        <w:tab/>
        <w:tab/>
        <w:t xml:space="preserve">                  July 2012 – July 2013</w:t>
      </w:r>
    </w:p>
    <w:p w:rsidR="00000000" w:rsidDel="00000000" w:rsidP="00000000" w:rsidRDefault="00000000" w:rsidRPr="00000000" w14:paraId="00000011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Surgical Intern                              </w:t>
        <w:tab/>
        <w:tab/>
        <w:tab/>
        <w:tab/>
        <w:tab/>
        <w:tab/>
        <w:tab/>
        <w:t xml:space="preserve"> </w:t>
        <w:tab/>
        <w:t xml:space="preserve">          Miami, FL</w:t>
      </w:r>
    </w:p>
    <w:p w:rsidR="00000000" w:rsidDel="00000000" w:rsidP="00000000" w:rsidRDefault="00000000" w:rsidRPr="00000000" w14:paraId="00000012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University of Miami</w:t>
        <w:tab/>
        <w:tab/>
        <w:tab/>
        <w:tab/>
        <w:tab/>
        <w:tab/>
        <w:tab/>
        <w:t xml:space="preserve">           August 2008 – May 2012</w:t>
      </w:r>
    </w:p>
    <w:p w:rsidR="00000000" w:rsidDel="00000000" w:rsidP="00000000" w:rsidRDefault="00000000" w:rsidRPr="00000000" w14:paraId="00000014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Doctorate of Medicine </w:t>
        <w:tab/>
        <w:tab/>
        <w:tab/>
        <w:tab/>
        <w:tab/>
        <w:tab/>
        <w:tab/>
        <w:t xml:space="preserve">                                        Miami, FL</w:t>
      </w:r>
    </w:p>
    <w:p w:rsidR="00000000" w:rsidDel="00000000" w:rsidP="00000000" w:rsidRDefault="00000000" w:rsidRPr="00000000" w14:paraId="00000015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University of Miami     </w:t>
        <w:tab/>
        <w:tab/>
        <w:tab/>
        <w:tab/>
        <w:tab/>
        <w:tab/>
        <w:tab/>
        <w:t xml:space="preserve">            August 2004 –May 2008</w:t>
      </w:r>
    </w:p>
    <w:p w:rsidR="00000000" w:rsidDel="00000000" w:rsidP="00000000" w:rsidRDefault="00000000" w:rsidRPr="00000000" w14:paraId="00000017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Bachelor of Science in Biology</w:t>
        <w:tab/>
        <w:t xml:space="preserve">- Graduated Magna Cum Laude</w:t>
        <w:tab/>
        <w:tab/>
        <w:tab/>
        <w:t xml:space="preserve">          Miami, FL </w:t>
      </w:r>
    </w:p>
    <w:p w:rsidR="00000000" w:rsidDel="00000000" w:rsidP="00000000" w:rsidRDefault="00000000" w:rsidRPr="00000000" w14:paraId="00000018">
      <w:pPr>
        <w:pageBreakBefore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CREDENTIALING AND LICENSURE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American Board of Radiology Core Exam                    </w:t>
        <w:tab/>
        <w:tab/>
        <w:tab/>
        <w:tab/>
        <w:t xml:space="preserve">  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assed July 2016</w:t>
      </w:r>
    </w:p>
    <w:p w:rsidR="00000000" w:rsidDel="00000000" w:rsidP="00000000" w:rsidRDefault="00000000" w:rsidRPr="00000000" w14:paraId="0000001B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American Board of Radiology Certifying Exam</w:t>
        <w:tab/>
        <w:tab/>
        <w:tab/>
        <w:tab/>
        <w:tab/>
        <w:t xml:space="preserve">   Passed October 2018</w:t>
      </w:r>
    </w:p>
    <w:p w:rsidR="00000000" w:rsidDel="00000000" w:rsidP="00000000" w:rsidRDefault="00000000" w:rsidRPr="00000000" w14:paraId="0000001D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California Medical License</w:t>
        <w:tab/>
        <w:tab/>
        <w:tab/>
        <w:tab/>
        <w:tab/>
        <w:tab/>
        <w:tab/>
        <w:t xml:space="preserve">    Approved 2021</w:t>
      </w:r>
    </w:p>
    <w:p w:rsidR="00000000" w:rsidDel="00000000" w:rsidP="00000000" w:rsidRDefault="00000000" w:rsidRPr="00000000" w14:paraId="0000001F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Interventional Radiology - Board Certified</w:t>
        <w:tab/>
        <w:tab/>
        <w:tab/>
        <w:tab/>
        <w:tab/>
        <w:t xml:space="preserve">    Passed 10/28/2022</w:t>
      </w:r>
    </w:p>
    <w:p w:rsidR="00000000" w:rsidDel="00000000" w:rsidP="00000000" w:rsidRDefault="00000000" w:rsidRPr="00000000" w14:paraId="0000002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Neuroradiology - CAQ</w:t>
        <w:tab/>
        <w:tab/>
        <w:tab/>
        <w:tab/>
        <w:tab/>
        <w:tab/>
        <w:tab/>
        <w:t xml:space="preserve">                   Passed 8/27/2024</w:t>
      </w:r>
    </w:p>
    <w:p w:rsidR="00000000" w:rsidDel="00000000" w:rsidP="00000000" w:rsidRDefault="00000000" w:rsidRPr="00000000" w14:paraId="0000002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2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 York Radiology Alliance  </w:t>
        <w:tab/>
        <w:tab/>
        <w:tab/>
        <w:tab/>
        <w:tab/>
        <w:t xml:space="preserve">           September 2019-February 2021</w:t>
      </w:r>
    </w:p>
    <w:p w:rsidR="00000000" w:rsidDel="00000000" w:rsidP="00000000" w:rsidRDefault="00000000" w:rsidRPr="00000000" w14:paraId="0000002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Advanced Imaging of South Bay</w:t>
        <w:tab/>
        <w:tab/>
        <w:tab/>
        <w:tab/>
        <w:t xml:space="preserve">           April 2021 - Current</w:t>
      </w:r>
    </w:p>
    <w:p w:rsidR="00000000" w:rsidDel="00000000" w:rsidP="00000000" w:rsidRDefault="00000000" w:rsidRPr="00000000" w14:paraId="00000029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AWARDS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Induction into Phi Beta Kappa</w:t>
        <w:tab/>
        <w:tab/>
        <w:tab/>
        <w:tab/>
        <w:tab/>
        <w:tab/>
        <w:tab/>
        <w:tab/>
        <w:t xml:space="preserve">   2008</w:t>
      </w:r>
    </w:p>
    <w:p w:rsidR="00000000" w:rsidDel="00000000" w:rsidP="00000000" w:rsidRDefault="00000000" w:rsidRPr="00000000" w14:paraId="0000002C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RESEARCH EXPERIENCE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“Flora, G., Joseph, G., Patel, S., Singh, A., Bleicher, D., Barakat, &amp; Pearse, D. D. (2013). Combining neurotrophin-transduced Schwann cells and rolipram to promote functional recovery from</w:t>
      </w:r>
    </w:p>
    <w:p w:rsidR="00000000" w:rsidDel="00000000" w:rsidP="00000000" w:rsidRDefault="00000000" w:rsidRPr="00000000" w14:paraId="0000002F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subacute spinal cord injury. Cell transplantation, 22(12), 2203-2217."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3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Studied the therapeutic potential for functional recovery following spinal cord injury in</w:t>
      </w:r>
    </w:p>
    <w:p w:rsidR="00000000" w:rsidDel="00000000" w:rsidP="00000000" w:rsidRDefault="00000000" w:rsidRPr="00000000" w14:paraId="00000031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rats using Rolipram, a cAMP phosphodiesterase inhibitory, in combination with Schwann cells transduced to overexpress a neurotrophin.</w:t>
      </w:r>
    </w:p>
    <w:p w:rsidR="00000000" w:rsidDel="00000000" w:rsidP="00000000" w:rsidRDefault="00000000" w:rsidRPr="00000000" w14:paraId="00000032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Maggio, D. M., Singh, A., Iorgulescu, J. B., Bleicher, D. H., Ghosh, M., Lopez, M. M., ... &amp; Pearse, D. D.</w:t>
      </w:r>
    </w:p>
    <w:p w:rsidR="00000000" w:rsidDel="00000000" w:rsidP="00000000" w:rsidRDefault="00000000" w:rsidRPr="00000000" w14:paraId="00000036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(2017). Identifying the Long-Term Role of Inducible Nitric Oxide Synthase after Contusive Spinal Cord Injury Using a Transgenic Mouse Model. International journal of molecular sciences, 18(2), 245.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3"/>
        </w:numPr>
        <w:ind w:left="720" w:hanging="360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Studied the role of long-term inhibition of nitrous oxide synthetase in histologic and functional analysis of rats.</w:t>
      </w:r>
    </w:p>
    <w:p w:rsidR="00000000" w:rsidDel="00000000" w:rsidP="00000000" w:rsidRDefault="00000000" w:rsidRPr="00000000" w14:paraId="00000038">
      <w:pPr>
        <w:pageBreakBefore w:val="0"/>
        <w:widowControl w:val="0"/>
        <w:ind w:left="36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Salsamendi, J., Pereira, K., Quintana, D., Bleicher, D., Tabbara, M., Goldstein, M., &amp;</w:t>
      </w:r>
    </w:p>
    <w:p w:rsidR="00000000" w:rsidDel="00000000" w:rsidP="00000000" w:rsidRDefault="00000000" w:rsidRPr="00000000" w14:paraId="0000003A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Narayanan, G. (2016). Endovascular management of renal transplant dysfunction secondary to hemodynamic effects related to ipsilateral femoral arteriovenous graft. Diagnostic and</w:t>
      </w:r>
    </w:p>
    <w:p w:rsidR="00000000" w:rsidDel="00000000" w:rsidP="00000000" w:rsidRDefault="00000000" w:rsidRPr="00000000" w14:paraId="0000003B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Interventional Radiology, 22(2), 193.</w:t>
      </w:r>
    </w:p>
    <w:p w:rsidR="00000000" w:rsidDel="00000000" w:rsidP="00000000" w:rsidRDefault="00000000" w:rsidRPr="00000000" w14:paraId="0000003C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Siegel, Y., Bleicher, D., Gordon, M. K., &amp; Fertel, D. (2017). Computed Tomography Pulmonary</w:t>
      </w:r>
    </w:p>
    <w:p w:rsidR="00000000" w:rsidDel="00000000" w:rsidP="00000000" w:rsidRDefault="00000000" w:rsidRPr="00000000" w14:paraId="0000003E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Angiogram Dynamic Parameter Correlation With Pulmonary Pressure and Pulmonary Hypertension Etiologies. Journal of Computer Assisted Tomography.</w:t>
      </w:r>
    </w:p>
    <w:p w:rsidR="00000000" w:rsidDel="00000000" w:rsidP="00000000" w:rsidRDefault="00000000" w:rsidRPr="00000000" w14:paraId="0000003F">
      <w:pPr>
        <w:pageBreakBefore w:val="0"/>
        <w:widowControl w:val="0"/>
        <w:numPr>
          <w:ilvl w:val="0"/>
          <w:numId w:val="6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-Studied correlation of pulmonary arterial pressures on right heart catheterization compared to parameters seen on pulmonary CTA.</w:t>
      </w:r>
    </w:p>
    <w:p w:rsidR="00000000" w:rsidDel="00000000" w:rsidP="00000000" w:rsidRDefault="00000000" w:rsidRPr="00000000" w14:paraId="00000040">
      <w:pPr>
        <w:pageBreakBefore w:val="0"/>
        <w:widowControl w:val="0"/>
        <w:ind w:left="72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highlight w:val="white"/>
          <w:vertAlign w:val="baseline"/>
          <w:rtl w:val="0"/>
        </w:rPr>
        <w:t xml:space="preserve">Kably, Issam, et al. "Spontaneous Bladder Stone Voiding after Prostatic Artery Embolization." </w:t>
      </w:r>
      <w:r w:rsidDel="00000000" w:rsidR="00000000" w:rsidRPr="00000000">
        <w:rPr>
          <w:i w:val="1"/>
          <w:color w:val="222222"/>
          <w:sz w:val="22"/>
          <w:szCs w:val="22"/>
          <w:highlight w:val="white"/>
          <w:vertAlign w:val="baseline"/>
          <w:rtl w:val="0"/>
        </w:rPr>
        <w:t xml:space="preserve">Journal of Vascular and Interventional Radiology</w:t>
      </w:r>
      <w:r w:rsidDel="00000000" w:rsidR="00000000" w:rsidRPr="00000000">
        <w:rPr>
          <w:color w:val="222222"/>
          <w:sz w:val="22"/>
          <w:szCs w:val="22"/>
          <w:highlight w:val="white"/>
          <w:vertAlign w:val="baseline"/>
          <w:rtl w:val="0"/>
        </w:rPr>
        <w:t xml:space="preserve"> 28.11 (2017): 1611-1613.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numPr>
          <w:ilvl w:val="0"/>
          <w:numId w:val="6"/>
        </w:numPr>
        <w:ind w:left="720" w:hanging="360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Case of patient voiding bladder stones following PAE.</w:t>
      </w:r>
    </w:p>
    <w:p w:rsidR="00000000" w:rsidDel="00000000" w:rsidP="00000000" w:rsidRDefault="00000000" w:rsidRPr="00000000" w14:paraId="00000043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Effect of Medical Provider-based, High Intensity, Certified Counseling on In-patient Smoking Population in a Tertiary Care Setting: Approach to Achieving Optimal Smoking Cessation Rates”</w:t>
      </w:r>
    </w:p>
    <w:p w:rsidR="00000000" w:rsidDel="00000000" w:rsidP="00000000" w:rsidRDefault="00000000" w:rsidRPr="00000000" w14:paraId="00000045">
      <w:pPr>
        <w:pageBreakBefore w:val="0"/>
        <w:widowControl w:val="0"/>
        <w:numPr>
          <w:ilvl w:val="0"/>
          <w:numId w:val="6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Poster shown at The Great American Smokeout (November 20,2008)</w:t>
      </w:r>
    </w:p>
    <w:p w:rsidR="00000000" w:rsidDel="00000000" w:rsidP="00000000" w:rsidRDefault="00000000" w:rsidRPr="00000000" w14:paraId="00000046">
      <w:pPr>
        <w:pageBreakBefore w:val="0"/>
        <w:widowControl w:val="0"/>
        <w:ind w:left="72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Tipirneni, Anita, et al. "Clinical Predictors of Spinal Dural Arteriovenous Fistulas in Patients with Myelopathy (P6.079)." Neurology 86.16 Supplement (2016): P6-079.”</w:t>
      </w:r>
    </w:p>
    <w:p w:rsidR="00000000" w:rsidDel="00000000" w:rsidP="00000000" w:rsidRDefault="00000000" w:rsidRPr="00000000" w14:paraId="00000048">
      <w:pPr>
        <w:pageBreakBefore w:val="0"/>
        <w:widowControl w:val="0"/>
        <w:numPr>
          <w:ilvl w:val="0"/>
          <w:numId w:val="6"/>
        </w:numPr>
        <w:ind w:left="720" w:hanging="360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vertAlign w:val="baseline"/>
          <w:rtl w:val="0"/>
        </w:rPr>
        <w:t xml:space="preserve">Studied clinical predictors of final diagnosis or spinal dural arteriovenous fistulas in patients with myelopathy.</w:t>
      </w:r>
    </w:p>
    <w:p w:rsidR="00000000" w:rsidDel="00000000" w:rsidP="00000000" w:rsidRDefault="00000000" w:rsidRPr="00000000" w14:paraId="00000049">
      <w:pPr>
        <w:pageBreakBefore w:val="0"/>
        <w:widowControl w:val="0"/>
        <w:ind w:left="720"/>
        <w:rPr>
          <w:color w:val="22222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I Kably, D Bleicher, K Shah, M Sentome, G Narayanan. “Management of Refractory Fistulas. Additional Experience with Instillation of Gelfoam Slurry to Reduce Time to Resolution.” </w:t>
      </w:r>
    </w:p>
    <w:p w:rsidR="00000000" w:rsidDel="00000000" w:rsidP="00000000" w:rsidRDefault="00000000" w:rsidRPr="00000000" w14:paraId="0000004B">
      <w:pPr>
        <w:pageBreakBefore w:val="0"/>
        <w:widowControl w:val="0"/>
        <w:numPr>
          <w:ilvl w:val="0"/>
          <w:numId w:val="6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Presented Society of Interventional Radiology 2017</w:t>
      </w:r>
    </w:p>
    <w:p w:rsidR="00000000" w:rsidDel="00000000" w:rsidP="00000000" w:rsidRDefault="00000000" w:rsidRPr="00000000" w14:paraId="0000004C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I Kably, S Narayanan, K Shah, G Narayanan, S Narayanan. “Is CO2 a suitable contrast agent for identification of the origin of the prostate artery during prostate artery embolization.” </w:t>
      </w:r>
    </w:p>
    <w:p w:rsidR="00000000" w:rsidDel="00000000" w:rsidP="00000000" w:rsidRDefault="00000000" w:rsidRPr="00000000" w14:paraId="0000004E">
      <w:pPr>
        <w:pageBreakBefore w:val="0"/>
        <w:widowControl w:val="0"/>
        <w:numPr>
          <w:ilvl w:val="0"/>
          <w:numId w:val="2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Presented Society of Interventional Radiology 2017</w:t>
      </w:r>
    </w:p>
    <w:p w:rsidR="00000000" w:rsidDel="00000000" w:rsidP="00000000" w:rsidRDefault="00000000" w:rsidRPr="00000000" w14:paraId="0000004F">
      <w:pPr>
        <w:pageBreakBefore w:val="0"/>
        <w:widowControl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PROFESSIONAL EXPERIENCE</w:t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Nicklaus Children’s Hospital            </w:t>
        <w:tab/>
        <w:tab/>
        <w:tab/>
        <w:tab/>
        <w:tab/>
        <w:tab/>
        <w:tab/>
        <w:t xml:space="preserve">                  2018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Moonlighting</w:t>
      </w:r>
    </w:p>
    <w:p w:rsidR="00000000" w:rsidDel="00000000" w:rsidP="00000000" w:rsidRDefault="00000000" w:rsidRPr="00000000" w14:paraId="00000053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UM- Louis Pope Life Center, Department of Neurosurgery</w:t>
        <w:tab/>
        <w:tab/>
        <w:t xml:space="preserve">        January 2005 – June 2012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Basic Science Research for Spinal Cord Injury</w:t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 York Radiology Alliance </w:t>
        <w:tab/>
        <w:tab/>
        <w:tab/>
        <w:tab/>
        <w:tab/>
        <w:t xml:space="preserve">                       September 2019 - Present</w:t>
      </w:r>
    </w:p>
    <w:p w:rsidR="00000000" w:rsidDel="00000000" w:rsidP="00000000" w:rsidRDefault="00000000" w:rsidRPr="00000000" w14:paraId="00000056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SKILLS AND INTERESTS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Sports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Travel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rewbleiche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