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Arial" w:hAnsi="Arial" w:eastAsia="Arial"/>
          <w:b/>
          <w:sz w:val="36"/>
        </w:rPr>
        <w:t>Eugene Lipov, MD</w:t>
      </w:r>
    </w:p>
    <w:p>
      <w:pPr>
        <w:spacing w:after="40"/>
        <w:jc w:val="center"/>
      </w:pPr>
      <w:r>
        <w:rPr>
          <w:rFonts w:ascii="Arial" w:hAnsi="Arial" w:eastAsia="Arial"/>
          <w:b/>
          <w:sz w:val="21"/>
        </w:rPr>
        <w:t>Board-Certified Anesthesiology and Pain Medicine Physician</w:t>
      </w:r>
    </w:p>
    <w:p>
      <w:pPr>
        <w:spacing w:after="100"/>
        <w:jc w:val="center"/>
      </w:pPr>
      <w:r>
        <w:rPr>
          <w:rFonts w:ascii="Arial" w:hAnsi="Arial" w:eastAsia="Arial"/>
        </w:rPr>
        <w:t>1 E Oak Hill Dr, Suite 100, Westmont, IL 60559  |  312-618-0829  |  elipovmd@aol.com</w:t>
        <w:br/>
      </w:r>
      <w:r>
        <w:rPr>
          <w:rFonts w:ascii="Arial" w:hAnsi="Arial" w:eastAsia="Arial"/>
        </w:rPr>
        <w:t>dreugenelipov.com  |  linkedin.com/in/eugenelipov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MEDICOLEGAL PROFILE</w:t>
      </w:r>
    </w:p>
    <w:p>
      <w:pPr>
        <w:pStyle w:val="CVEntry"/>
      </w:pPr>
      <w:r>
        <w:rPr>
          <w:rFonts w:ascii="Arial" w:hAnsi="Arial" w:eastAsia="Arial"/>
          <w:b w:val="0"/>
        </w:rPr>
        <w:t xml:space="preserve">Pain medicine physician, anesthesiologist, academic clinician, researcher, and medical-device consultant with more than three decades of experience in interventional pain medicine. </w:t>
      </w:r>
      <w:r>
        <w:rPr>
          <w:rFonts w:ascii="Arial" w:hAnsi="Arial" w:eastAsia="Arial"/>
          <w:b w:val="0"/>
        </w:rPr>
        <w:t xml:space="preserve">Clinical and technical expertise includes stellate ganglion block (SGB)/cervical sympathetic blockade, complex regional pain syndrome (CRPS), motor-vehicle-related pain, spinal cord stimulation/dorsal column stimulation, radiofrequency procedures, post-laminectomy syndrome, and evaluation of neurologic complications following pain and neuromodulation procedures. </w:t>
      </w:r>
      <w:r>
        <w:rPr>
          <w:rFonts w:ascii="Arial" w:hAnsi="Arial" w:eastAsia="Arial"/>
          <w:b w:val="0"/>
        </w:rPr>
        <w:t>Experienced medical expert and consultant in matters involving diagnosis, causation, treatment, prognosis, complications, and standard-of-care analysis.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EXPERT TESTIMONY AND MEDICOLEGAL CASE EXPERIENCE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Provided expert testimony and medicolegal consultation in multiple matters involving stellate ganglion block (SGB), including indications, anatomy, technique, therapeutic rationale, expected outcomes, and potential complications.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Provided expert testimony in multiple matters involving complex regional pain syndrome (CRPS), formerly reflex sympathetic dystrophy (RSD), including diagnostic criteria, differential diagnosis, causation, symptom progression, treatment, functional impairment, and prognosis.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Evaluated multiple matters involving motor vehicle accident/collision-related pain, including cervical and lumbar injury, radiculopathy, chronic post-traumatic pain, the relationship between trauma and pre-existing degenerative findings, treatment appropriateness, and prognosis.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Provided expert opinions concerning dorsal column stimulators and spinal cord stimulation, including patient selection, trialing, implantation, device performance, lead migration, revision, explantation, and treatment failure.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Evaluated neurologic complications following interventional pain and neuromodulation procedures, including post-procedural weakness, sensory change, nerve injury, spinal cord injury, infection, hematoma, and questions of medical causation and standard of care.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Retained as an expert witness regarding the effect of post-traumatic stress disorder (PTSD) on the severity of sepsis.</w:t>
      </w:r>
    </w:p>
    <w:p>
      <w:pPr>
        <w:pStyle w:val="CVSmall"/>
        <w:spacing w:before="40"/>
      </w:pPr>
      <w:r>
        <w:rPr>
          <w:rFonts w:ascii="Arial" w:hAnsi="Arial" w:eastAsia="Arial"/>
          <w:i/>
        </w:rPr>
        <w:t>Representative matter list and professional references are available upon request, subject to confidentiality obligations.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CORE AREAS OF EXPERTISE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2F2F2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Anesthesiology and interventional pain medicine</w:t>
            </w:r>
          </w:p>
        </w:tc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2F2F2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Stellate ganglion block / cervical sympathetic blockade</w:t>
            </w:r>
          </w:p>
        </w:tc>
      </w:tr>
      <w:tr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FFFFF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Complex regional pain syndrome (CRPS/RSD)</w:t>
            </w:r>
          </w:p>
        </w:tc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FFFFF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Motor-vehicle-related cervical and lumbar pain</w:t>
            </w:r>
          </w:p>
        </w:tc>
      </w:tr>
      <w:tr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2F2F2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Spinal cord stimulation / dorsal column stimulation</w:t>
            </w:r>
          </w:p>
        </w:tc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2F2F2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Neuromodulation device complications and revisions</w:t>
            </w:r>
          </w:p>
        </w:tc>
      </w:tr>
      <w:tr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FFFFF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Post-laminectomy syndrome and chronic low-back pain</w:t>
            </w:r>
          </w:p>
        </w:tc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FFFFF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Neurologic complications after pain procedures</w:t>
            </w:r>
          </w:p>
        </w:tc>
      </w:tr>
      <w:tr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2F2F2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Radiofrequency ablation and pulsed radiofrequency</w:t>
            </w:r>
          </w:p>
        </w:tc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2F2F2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Causation, prognosis, treatment necessity, and standard of care</w:t>
            </w:r>
          </w:p>
        </w:tc>
      </w:tr>
      <w:tr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FFFFF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PTSD, autonomic dysfunction, and sympathetic modulation</w:t>
            </w:r>
          </w:p>
        </w:tc>
        <w:tc>
          <w:tcPr>
            <w:tcW w:type="dxa" w:w="5184"/>
            <w:tcMar>
              <w:top w:w="30" w:type="dxa"/>
              <w:start w:w="80" w:type="dxa"/>
              <w:bottom w:w="30" w:type="dxa"/>
              <w:end w:w="80" w:type="dxa"/>
            </w:tcMar>
            <w:vAlign w:val="center"/>
            <w:shd w:fill="FFFFFF"/>
            <w:tcBorders>
              <w:top w:val="single" w:sz="2" w:color="D9D9D9"/>
              <w:left w:val="single" w:sz="2" w:color="D9D9D9"/>
              <w:bottom w:val="single" w:sz="2" w:color="D9D9D9"/>
              <w:right w:val="single" w:sz="2" w:color="D9D9D9"/>
            </w:tcBorders>
          </w:tcPr>
          <w:p>
            <w:pPr>
              <w:pStyle w:val="CVEntry"/>
              <w:spacing w:after="0"/>
            </w:pPr>
            <w:r>
              <w:t>Medical-device design and clinical implementation</w:t>
            </w:r>
          </w:p>
        </w:tc>
      </w:tr>
    </w:tbl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SELECTED TECHNICAL AND CLINICAL QUALIFICATIONS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Pioneered the use of SGB for PTSD and hot flashes and developed the Dual Sympathetic Reset (DSR) protocol.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Developed a hybrid neurostimulation approach combining conventional dorsal column stimulation with peripheral subcutaneous field stimulation.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Consulted with Medtronic on development of dorsal column stimulation devices and with B&amp;D on needle design.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Active interventional pain practice includes spinal cord stimulation, radiofrequency ablation, diagnosis and treatment of CRPS, and treatment of post-laminectomy syndrome.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Former instructor and professional resource for the Spine Intervention Society and North American Spine Society.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WORLD-FIRST REPORTS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Successful treatment of hot flashes using stellate ganglion block (2005).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Successful treatment of PTSD using stellate ganglion block (2008).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Successful use of peripheral subcutaneous field stimulation for axial neck pain (2009).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PROFESSIONAL EXPERIENCE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Stella Trauma Centers</w:t>
            </w:r>
            <w:r>
              <w:rPr>
                <w:i/>
              </w:rPr>
              <w:t>, Westmont,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2020-Present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Co-Founder and Chief Medical Officer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Provides SGB for PTSD and ketamine infusions for selected medical conditions; oversees clinical standards and medical program development.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Illinois Orthopedic Network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2019-Present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Pain Physician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Performs interventional pain procedures, including dorsal column/spinal cord stimulation and radiofrequency ablation; diagnoses and treats CRPS and post-laminectomy syndrome, including adhesiolysis/Racz procedures and related interventions.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Erase PTSD Now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2015-Present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Senior Medical Advisor / Science Advisor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Oversees medical services, clinical policies and procedures, research design, and sponsored treatment programs involving SGB and the SOF/DSR method; serves as principal investigator in physician-initiated research.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Nonprofit Program for PTSD Treatment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2013-Present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Science Advisor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Provides SGB/DSR-based treatment and supervises research intended to improve care for patients with PTSD.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University of Illinois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2018-Present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Clinical Assistant Professor, Department of Surgery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Academic appointment supporting surgical and pain-medicine education.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Advanced Pain Centers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1996-Present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Medical Director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Responsible for clinical policies and procedures, quality oversight, and direct interventional pain care.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Illinois Masonic Hospital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2018-2022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Medical Director, Pain Clinic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Provided direct patient care and optimized pain-clinic policies and procedures.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Medtronic</w:t>
            </w:r>
            <w:r>
              <w:rPr>
                <w:i/>
              </w:rPr>
              <w:t>, Minneapolis, Minnesota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2013-2015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Medical Device Consultant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Consulted on the development of dorsal column/spinal cord stimulation devices.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B&amp;D</w:t>
            </w:r>
            <w:r>
              <w:rPr>
                <w:i/>
              </w:rPr>
              <w:t>, New York, New York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2006-2008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Medical Device Consultant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Provided needle-design expertise.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I Grow Chicago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2014-2018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Chief Medical Officer, 501(c)(3)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Developed programs to assess organizational impact on underserved communities, provided medical assistance, and supported grant development.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Poplar Creek Surgery Center</w:t>
            </w:r>
            <w:r>
              <w:rPr>
                <w:i/>
              </w:rPr>
              <w:t>, Hoffman Estates,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1994-1999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Chief of Anesthesia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Directed anesthesia staffing, clinical policies, and direct patient care in a busy four-room ambulatory surgical center.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Rush University Medical Center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1990-1994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Assistant Professor of Anesthesiology</w:t>
      </w:r>
    </w:p>
    <w:p>
      <w:pPr>
        <w:pStyle w:val="CVEntry"/>
        <w:spacing w:after="60"/>
        <w:ind w:left="173"/>
      </w:pPr>
      <w:r>
        <w:rPr>
          <w:rFonts w:ascii="Arial" w:hAnsi="Arial" w:eastAsia="Arial"/>
        </w:rPr>
        <w:t>Pain-clinic attending and complex anesthesia provider in cardiothoracic, obstetric, pediatric, and craniofacial surgery.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BOARD CERTIFICATION AND LICENSURE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American Board of Anesthesiology, Pain Medicine - certified 1993; recertified 2014; current as reflected in source CV.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American Board of Anesthesiology, Anesthesiology - certified 1991; lifetime/grandfathered status as reflected in source CV.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Illinois medical license #036071840 - held since 1986.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Additional active licenses listed in source CV: California, Florida, Georgia, Massachusetts, New York, North Carolina, Virginia, and Washington.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CERTIFICATIONS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Advanced Cardiac Life Support (ACLS), current since 1994.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Basic Life Support (BLS), current since 1994.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Advanced Trauma Life Support (ATLS), 1994-1996.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EDUCATION AND POSTGRADUATE TRAINING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Rush University Medical Center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1989-1990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Advanced Training in Anesthesia and Pain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University of Illinois / West Side VA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1987-1989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Anesthesiology Residency and Pain Medicine Training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University of Illinois / Cook County Hospital / West Side VA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1984-1986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Surgical Residency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Northwestern University Medical School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1980-1984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Doctor of Medicine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Northwestern University</w:t>
            </w:r>
            <w:r>
              <w:rPr>
                <w:i/>
              </w:rPr>
              <w:t>, Evanston,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1976-1980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B.A., Biochemistry; Phi Beta Kappa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PROFESSIONAL MEMBERSHIPS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American Society of Anesthesiologists (ASA), 1990-present.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American Society of Interventional Pain Physicians (ASIPP), 2010-present; founding member and first president, Illinois Chapter.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FACULTY AND INSTRUCTOR APPOINTMENTS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Spine Intervention Society (SIS)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2010-2018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Instructor and Professional Resource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North American Spine Society (NASS)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2016-2018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Instructor and Professional Resource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Rush University Medical Center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1990-1996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Academic Faculty / Assistant Professor of Anesthesiology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68"/>
        <w:gridCol w:w="1800"/>
      </w:tblGrid>
      <w:tr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</w:pPr>
            <w:r>
              <w:rPr>
                <w:b/>
              </w:rPr>
              <w:t>University of Illinois</w:t>
            </w:r>
            <w:r>
              <w:rPr>
                <w:i/>
              </w:rPr>
              <w:t>, Chicago, Illinois</w:t>
            </w:r>
          </w:p>
        </w:tc>
        <w:tc>
          <w:tcPr>
            <w:tcW w:type="dxa" w:w="518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VEntry"/>
              <w:spacing w:after="0"/>
              <w:jc w:val="right"/>
            </w:pPr>
            <w:r>
              <w:t>2018-Present</w:t>
            </w:r>
          </w:p>
        </w:tc>
      </w:tr>
    </w:tbl>
    <w:p>
      <w:pPr>
        <w:pStyle w:val="CVEntry"/>
        <w:spacing w:after="0"/>
      </w:pPr>
      <w:r>
        <w:rPr>
          <w:rFonts w:ascii="Arial" w:hAnsi="Arial" w:eastAsia="Arial"/>
          <w:b/>
        </w:rPr>
        <w:t>Assistant Professor of Surgery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INTERNATIONAL PRESENTATIONS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1. </w:t>
      </w:r>
      <w:r>
        <w:rPr>
          <w:rFonts w:ascii="Arial" w:hAnsi="Arial" w:eastAsia="Arial"/>
        </w:rPr>
        <w:t>Use of SGB to Treat Suicidal Ideation in PTSD, American Psychiatric Association, Canada, 2015.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2. </w:t>
      </w:r>
      <w:r>
        <w:rPr>
          <w:rFonts w:ascii="Arial" w:hAnsi="Arial" w:eastAsia="Arial"/>
        </w:rPr>
        <w:t>Use of SGB to Treat Hot Flashes, Pan Asian Lancet Oncology, Singapore, 2012.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3. </w:t>
      </w:r>
      <w:r>
        <w:rPr>
          <w:rFonts w:ascii="Arial" w:hAnsi="Arial" w:eastAsia="Arial"/>
        </w:rPr>
        <w:t>Use of SGB to Treat PTSD, ISPOR, Spain, 2011.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4. </w:t>
      </w:r>
      <w:r>
        <w:rPr>
          <w:rFonts w:ascii="Arial" w:hAnsi="Arial" w:eastAsia="Arial"/>
        </w:rPr>
        <w:t>Hot Flash Treatment Using SGB, Oslo University Hospital, Norway, 2010.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5. </w:t>
      </w:r>
      <w:r>
        <w:rPr>
          <w:rFonts w:ascii="Arial" w:hAnsi="Arial" w:eastAsia="Arial"/>
        </w:rPr>
        <w:t>Hot Flash Treatment Using SGB, Oslo University Hospital, Norway, 2009.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6. </w:t>
      </w:r>
      <w:r>
        <w:rPr>
          <w:rFonts w:ascii="Arial" w:hAnsi="Arial" w:eastAsia="Arial"/>
        </w:rPr>
        <w:t>Long-Duration Pulsed Radiofrequency for Upper-Extremity CRPS, Euroneuro, Netherlands, 2008.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7. </w:t>
      </w:r>
      <w:r>
        <w:rPr>
          <w:rFonts w:ascii="Arial" w:hAnsi="Arial" w:eastAsia="Arial"/>
        </w:rPr>
        <w:t>Lower Back Treatment, DRK Kliniken Hospital, Germany, 2004.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SGB / PTSD PRESENTATIONS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1. </w:t>
      </w:r>
      <w:r>
        <w:rPr>
          <w:rFonts w:ascii="Arial" w:hAnsi="Arial" w:eastAsia="Arial"/>
        </w:rPr>
        <w:t>American Society of Regional Anesthesia (ASRA), live e-poster presentation, “Stellate Ganglion Block Has a Marked Impact on Post-Acute COVID-19 Syndrome: A Case Series,” San Francisco, California, May 2023.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2. </w:t>
      </w:r>
      <w:r>
        <w:rPr>
          <w:rFonts w:ascii="Arial" w:hAnsi="Arial" w:eastAsia="Arial"/>
        </w:rPr>
        <w:t>American Psychiatric Association, oral presentation, San Francisco, California, 2023.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3. </w:t>
      </w:r>
      <w:r>
        <w:rPr>
          <w:rFonts w:ascii="Arial" w:hAnsi="Arial" w:eastAsia="Arial"/>
        </w:rPr>
        <w:t>Fort Bragg / SOCOM Grand Rounds, Fayetteville, North Carolina, 2021.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4. </w:t>
      </w:r>
      <w:r>
        <w:rPr>
          <w:rFonts w:ascii="Arial" w:hAnsi="Arial" w:eastAsia="Arial"/>
        </w:rPr>
        <w:t>American Academy of Pain Medicine, oral presentation, Washington, DC, 2020.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5. </w:t>
      </w:r>
      <w:r>
        <w:rPr>
          <w:rFonts w:ascii="Arial" w:hAnsi="Arial" w:eastAsia="Arial"/>
        </w:rPr>
        <w:t>Walter Reed Medical Center Grand Rounds, Washington, DC, 2020.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6. </w:t>
      </w:r>
      <w:r>
        <w:rPr>
          <w:rFonts w:ascii="Arial" w:hAnsi="Arial" w:eastAsia="Arial"/>
        </w:rPr>
        <w:t>American Psychiatric Association, oral presentation, Toronto, Canada, 2015.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7. </w:t>
      </w:r>
      <w:r>
        <w:rPr>
          <w:rFonts w:ascii="Arial" w:hAnsi="Arial" w:eastAsia="Arial"/>
        </w:rPr>
        <w:t>American Psychiatric Association, oral presentation, New York, New York, 2014.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8. </w:t>
      </w:r>
      <w:r>
        <w:rPr>
          <w:rFonts w:ascii="Arial" w:hAnsi="Arial" w:eastAsia="Arial"/>
        </w:rPr>
        <w:t>AMSUS, Seattle, Washington, 2013.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9. </w:t>
      </w:r>
      <w:r>
        <w:rPr>
          <w:rFonts w:ascii="Arial" w:hAnsi="Arial" w:eastAsia="Arial"/>
        </w:rPr>
        <w:t>Canadian Society of Anesthesiologists, poster, Quebec City, Canada, 2012.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10. </w:t>
      </w:r>
      <w:r>
        <w:rPr>
          <w:rFonts w:ascii="Arial" w:hAnsi="Arial" w:eastAsia="Arial"/>
        </w:rPr>
        <w:t>International Anesthesia Research Society, poster, Boston, Massachusetts, 2012.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11. </w:t>
      </w:r>
      <w:r>
        <w:rPr>
          <w:rFonts w:ascii="Arial" w:hAnsi="Arial" w:eastAsia="Arial"/>
        </w:rPr>
        <w:t>American Society of Regional Anesthesia, poster, San Diego, California, 2012.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12. </w:t>
      </w:r>
      <w:r>
        <w:rPr>
          <w:rFonts w:ascii="Arial" w:hAnsi="Arial" w:eastAsia="Arial"/>
        </w:rPr>
        <w:t>PostGraduate Assembly, poster, New York, New York, 2011.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13. </w:t>
      </w:r>
      <w:r>
        <w:rPr>
          <w:rFonts w:ascii="Arial" w:hAnsi="Arial" w:eastAsia="Arial"/>
        </w:rPr>
        <w:t>ISPOR Annual European Congress, poster, Madrid, Spain, 2011.</w:t>
      </w:r>
    </w:p>
    <w:p>
      <w:pPr>
        <w:pStyle w:val="CVSmall"/>
        <w:ind w:left="360" w:hanging="317"/>
      </w:pPr>
      <w:r>
        <w:rPr>
          <w:rFonts w:ascii="Arial" w:hAnsi="Arial" w:eastAsia="Arial"/>
          <w:b/>
        </w:rPr>
        <w:t xml:space="preserve">14. </w:t>
      </w:r>
      <w:r>
        <w:rPr>
          <w:rFonts w:ascii="Arial" w:hAnsi="Arial" w:eastAsia="Arial"/>
        </w:rPr>
        <w:t>U.S. Congressional Committee on Veterans’ Affairs, oral presentation, Washington, DC, 2010.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MEDICAL JOURNAL REVIEWER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JAMA Psychiatry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Journal of Affective Disorders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Journal of Clinical Anesthesia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Journal of Traumatic Stress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Anesthesiology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Maturitas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Medical Hypotheses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Military Medicine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Neuromodulation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Pain Practice</w:t>
      </w:r>
    </w:p>
    <w:p>
      <w:pPr>
        <w:pStyle w:val="CVSmall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Postgraduate Medical Journal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RESEARCH EXPERIENCE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Reversal of Battle-Related Aging (ROBRA) in a Special Operations Forces Cohort - principal investigator, physician-initiated study, NCT05855876, 2023.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Effects of Stellate Ganglion Block in Post-Traumatic Stress Disorder - co-designer of NYU study, NCT0539197, 2022.</w:t>
      </w:r>
    </w:p>
    <w:p>
      <w:pPr>
        <w:pStyle w:val="CVEntry"/>
        <w:ind w:left="259" w:hanging="202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Efficacy of a New Utilization of Neurostimulators for Persistent Postsurgical Neck Pain - lead investigator in a physician-initiated subcutaneous stimulation study for Medtronic, 2012.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PUBLICATIONS AND SCHOLARLY WORK</w:t>
      </w:r>
    </w:p>
    <w:p>
      <w:pPr>
        <w:pStyle w:val="CVSubsection"/>
        <w:spacing w:before="80"/>
      </w:pPr>
      <w:r>
        <w:rPr>
          <w:rFonts w:ascii="Arial" w:hAnsi="Arial" w:eastAsia="Arial"/>
        </w:rPr>
        <w:t>2024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EG, Rolain H, Lammers L. “Unanticipated Elimination of Bulimia Symptoms Following a Cervical Sympathetic Block for Treating Post-Traumatic Stress Disorder (PTSD): A Case Report.” 2024.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2023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et al. “Efficacy of Combined Subanesthetic Ketamine Infusion and Cervical Sympathetic Blockade as a Symptomatic Treatment of PTSD/TBI in a Special Forces Patient With a 1-Year Follow-up: A Case Report.” Heliyon. 2023;9(4).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Faber JA. “Efficacy of Cervical Sympathetic Blockade in the Treatment of Primary and Secondary PTSD Symptoms: A Case Series.” Heliyon. 2023;9(6).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“Efficacy of Right-Sided Cervical Sympathetic Block in Treating Post-Traumatic Stress Disorder in Australian Cohorts: A Retrospective Analysis.” 2023.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“Survey Reveals That Renaming Post-Traumatic Stress ‘Disorder’ to ‘Injury’ Would Reduce Stigma.” Cureus. 2023;15(5).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2022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et al. “Utility of Cervical Sympathetic Block in Treating Post-Traumatic Stress Disorder in Multiple Cohorts: A Retrospective Analysis.” Pain Physician. 2022;25(1):77.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2021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Candido K. “The Successful Use of Left-Sided Stellate Ganglion Block in Patients Who Fail to Respond to Right-Sided Stellate Ganglion Block for PTSD Symptoms: A Retrospective Analysis of 205 Patients.” Military Medicine. 2021;186(11-12):319-320.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2020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Gluncic V, Lukić IK, Candido K. “How Does Stellate Ganglion Block Alleviate Immunologically Linked Disorders?” Medical Hypotheses. 2020;144:110000.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2018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Tukan A, Candido K. “It Is Time to Look for New Treatments for Posttraumatic Stress Disorder: Can Sympathetic System Modulation Be an Answer?” Biological Psychiatry. 2018;84(2):e17-e18.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2017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“Stellate Ganglion Block for Posttraumatic Stress Disorder: A Call for the Complete Story, and Continued Research.” ASRA Newsletter. 2017.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Tukan A, Candido K. Letter to the Editor: “It Is Time to Look for New Treatments for Post-Traumatic Stress Disorder: Can Sympathetic System Modulation Be an Answer?” Biological Psychiatry. 2017.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Candido K. “BDNF Val66Met Polymorphism and Memory Performance in Older Adults: The Met Carrier Effect Is More Complex Than Previously Thought.” Revista Brasileira de Psiquiatria. 2017;39(3):276.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Candido K, Ritchie EC. “Possible Reversal of PTSD-Related DNA Methylation by Sympathetic Blockade.” Journal of Molecular Neuroscience. 2017.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Candido K. “Efficacy and Safety of Stellate Ganglion Block in Chronic Ulcerative Colitis.” World Journal of Gastroenterology. 2017;23(17):3193.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2016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“Role of the Sympathetic Nervous System in Post-Traumatic Stress Disorder-Related Male Sexual Dysfunction.” In: Intimacy Post-Injury: Combat Trauma and Sexual Health. 2016:17.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2015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Ritchie EC. “A Review of the Use of Stellate Ganglion Block in the Treatment of PTSD.” Current Psychiatry Reports. 2015;17(8):1-5.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“The Use of Stellate Ganglion Block in the Treatment of Panic/Anxiety Symptoms (Including Suicidal Ideation) With Combat-Related PTSD.” In: Posttraumatic Stress Disorder and Related Diseases in Combat Veterans. Springer; 2015:179-196.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“With War-Related PTSD Being Resistant to Pharmaceuticals, Is It Time to Give Stellate Ganglion Block a Shot?” Journal of Trauma &amp; Treatment. 2015.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2014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Mulvaney SW, Lynch JH, Hickey MJ, et al.; Lipov E. “Stellate Ganglion Block Used to Treat Symptoms Associated With Combat-Related PTSD: A Case Series of 166 Patients.” Military Medicine. 2014;179(10):1133-1140.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2013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et al. “Stellate Ganglion Block Improves Refractory PTSD and Associated Memory Dysfunction: A Case Report and Systematic Literature Review.” Military Medicine. 2013;178(2):e260-e264.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“Post-Traumatic Stress Disorder as an Overactivation of the Sympathetic Nervous System: An Alternative View.” Journal of Trauma &amp; Treatment. 2013;3:181.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Slavin KV. “More Evidence Supporting a Unified Theory of Stellate Ganglion Block.” Medical Hypotheses. 2013;81(1):146.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Hickey AH, Navaie M, Stedje-Larsen ET, Lipov EG, McLay RN. “Stellate Ganglion Block for the Treatment of Posttraumatic Stress Disorder.” Psychiatric Annals. 2013;43(2):87-92.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et al. “Use of Intra-Articular and Intrabursal Pulsed Radiofrequency for Persistent Arthrogenic Shoulder Pain.” Pain Medicine. 2013;14(4):554-556.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2012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Kelzenberg B. “Sympathetic System Modulation to Treat PTSD: A Review of Clinical Evidence and Neurobiology.” Journal of Affective Disorders. 2012;142(1):1-5.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et al. “A Novel Application of Stellate Ganglion Block: Preliminary Observations for the Treatment of PTSD.” Military Medicine. 2012;177(2):125.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et al. “Modulation of NGF by Cortisol and Stellate Ganglion Block - Is This the Missing Link Between Memory Consolidation and PTSD?” Medical Hypotheses. 2012;79(6):750-753.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2011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“‘Hybrid Neurostimulator’: Simultaneous Use of Spinal Cord and Peripheral Nerve Field Stimulation to Treat Low-Back and Leg Pain.” Progress in Neurological Surgery. 2011;24:147-155.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Kelzenberg BM. “Stellate Ganglion Block to Treat Perimenopausal Hot Flashes: Clinical Evidence and Neurobiology.” Maturitas. 2011;69(2):95-96.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EG. “‘Hybrid Neurostimulator’: Simultaneous Use of Spinal Cord and Peripheral Nerve Field Stimulation to Treat Low-Back and Leg Pain.” In: Peripheral Nerve Stimulation. Vol 24. Karger; 2011:147-155.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2010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“Successful Use of Stellate Ganglion Block and Pulsed Radiofrequency in the Treatment of PTSD: A Case Report.” Pain Research and Treatment. 2010.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“In Search of an Effective Treatment for Combat-Related PTSD: Can Stellate Ganglion Block Be the Answer?” Pain Practice. 2010;10:265-266.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“Cervical Sympathetic Ganglion Block: New Hope for PTSD Relief.” In: Post-Traumatic Stress Disorder: Causes, Symptoms and Treatment. Nova Publishers; 2010:159-175.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2009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Joshi JR, Sanders S, Slavin KV. “A Unifying Theory Linking the Prolonged Efficacy of Stellate Ganglion Block for CRPS, Hot Flashes, and PTSD.” Medical Hypotheses. 2009;72:657-661.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Joshi JR, Sanders S. “A New Mechanism of Action for Tamoxifen.” Lancet Oncology. 2009;10:542.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et al. “Use of Peripheral Subcutaneous Field Stimulation for the Treatment of Axial Neck Pain: A Case Report.” Neuromodulation. 2009;12(4):292-295.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2008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Joshi JR, Lipov S, Sanders SE, Siroko MK. “Cervical Sympathetic Blockade in a Patient With PTSD: A Case Report.” Annals of Clinical Psychiatry. 2008;20:227-228.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Joshi JR, Xie H, Slavin KV. “Updated Findings on the Effects of Stellate Ganglion Block on Hot Flushes and Night Awakenings.” Lancet Oncology. 2008;9(9):819-820.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Joshi JR, Sanders S, et al. “Effects of Stellate Ganglion Block on Hot Flushes and Night Awakenings in Survivors of Breast Cancer: A Pilot Study.” Lancet Oncology. 2008;9:523-532.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EG, Joshi JR. “Long-Duration Pulsed Radiofrequency for the Treatment of Upper-Extremity Complex Regional Pain Syndrome.” European Journal of Anaesthesiology. 2008;25.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2007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Lipov S, Joshi JR, Santucci VD, Slavin KV, Beck Vigue SG. “Stellate Ganglion Block May Relieve Hot Flashes by Interrupting the Sympathetic Nervous System.” Medical Hypotheses. 2007;69:758-763.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2005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Lipov S, Stark JT. “Stellate Ganglion Blockade Provides Relief From Menopausal Hot Flashes: A Case Report Series.” Journal of Women’s Health. 2005;14:737-741.</w:t>
      </w:r>
    </w:p>
    <w:p>
      <w:pPr>
        <w:pStyle w:val="CVSubsection"/>
        <w:spacing w:before="80"/>
      </w:pPr>
      <w:r>
        <w:rPr>
          <w:rFonts w:ascii="Arial" w:hAnsi="Arial" w:eastAsia="Arial"/>
        </w:rPr>
        <w:t>2002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“Intrathecal Drug Therapy in Chronic Low Back Pain.” In: Low Back Pain: Diagnosis and Treatment. ASIPP Publishing; 2002:93-101.</w:t>
      </w:r>
    </w:p>
    <w:p>
      <w:pPr>
        <w:pStyle w:val="CVSubsection"/>
        <w:spacing w:before="80"/>
      </w:pPr>
      <w:r>
        <w:rPr>
          <w:rFonts w:ascii="Arial" w:hAnsi="Arial" w:eastAsia="Arial"/>
        </w:rPr>
        <w:t>1995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McCarthy RJ, Ivankovich AD. “Walk, Don’t Run: Alternative Methods of Changing Needle Direction.” Anesthesia &amp; Analgesia. 1995;80:1067.</w:t>
      </w:r>
    </w:p>
    <w:p>
      <w:pPr>
        <w:pStyle w:val="CVSubsection"/>
        <w:spacing w:before="80"/>
      </w:pPr>
      <w:r>
        <w:rPr>
          <w:rFonts w:ascii="Arial" w:hAnsi="Arial" w:eastAsia="Arial"/>
        </w:rPr>
        <w:t>1994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McCarthy RJ, Ivankovich AD. “Severe Kinking of an Epidural Needle.” Anesthesia &amp; Analgesia. 1994;78(3):607-608.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Sosis MB, McCarthy RJ, Ivankovich AD. “Does the Design of the Sprotte Spinal Needle Reduce the Force Needed to Deform the Tip?” Journal of Clinical Anesthesia. 1994;6(5):411-413.</w:t>
      </w:r>
    </w:p>
    <w:p>
      <w:pPr>
        <w:pStyle w:val="CVSubsection"/>
        <w:spacing w:before="80"/>
      </w:pPr>
      <w:r>
        <w:rPr>
          <w:rFonts w:ascii="Arial" w:hAnsi="Arial" w:eastAsia="Arial"/>
        </w:rPr>
        <w:t>1993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“Safe Nasogastric Tube Placement in a Patient With a Basal Skull Fracture.” Anesthesiology. 1993;78(5):989.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Sosis MB. “Anesthesia for Otic Surgery.” Anesthesiology Clinics. 1993;11(3):547-558.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E, Sosis MB, Ivankovich AD. “A Comparison of Epidermal Coring With 22-G Spinal Needles.” Regional Anesthesia and Pain Medicine. 1993;18(2S):91.</w:t>
      </w:r>
    </w:p>
    <w:p>
      <w:pPr>
        <w:pStyle w:val="CVSubsection"/>
        <w:spacing w:before="80"/>
      </w:pPr>
      <w:r>
        <w:rPr>
          <w:rFonts w:ascii="Arial" w:hAnsi="Arial" w:eastAsia="Arial"/>
        </w:rPr>
        <w:t>1991</w:t>
      </w:r>
    </w:p>
    <w:p>
      <w:pPr>
        <w:pStyle w:val="CVPub"/>
        <w:ind w:left="230" w:hanging="187"/>
      </w:pPr>
      <w:r>
        <w:rPr>
          <w:rFonts w:ascii="Arial" w:hAnsi="Arial" w:eastAsia="Arial"/>
          <w:b/>
        </w:rPr>
        <w:t xml:space="preserve">• </w:t>
      </w:r>
      <w:r>
        <w:rPr>
          <w:rFonts w:ascii="Arial" w:hAnsi="Arial" w:eastAsia="Arial"/>
        </w:rPr>
        <w:t>Lipov E. “Emergence Delirium in the PACU.” Critical Care Nursing Clinics of North America. 1991;3(1):145-149.</w:t>
      </w:r>
    </w:p>
    <w:p>
      <w:pPr>
        <w:pStyle w:val="CVSection"/>
        <w:keepNext/>
        <w:pBdr>
          <w:bottom w:val="single" w:sz="8" w:space="2" w:color="555555"/>
        </w:pBdr>
      </w:pPr>
      <w:r>
        <w:rPr>
          <w:rFonts w:ascii="Arial" w:hAnsi="Arial" w:eastAsia="Arial"/>
          <w:color w:val="262626"/>
        </w:rPr>
        <w:t>PROFESSIONAL REFERENCES</w:t>
      </w:r>
    </w:p>
    <w:p>
      <w:pPr>
        <w:pStyle w:val="CVEntry"/>
      </w:pPr>
      <w:r>
        <w:rPr>
          <w:rFonts w:ascii="Arial" w:hAnsi="Arial" w:eastAsia="Arial"/>
        </w:rPr>
        <w:t>Available upon request.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936" w:bottom="792" w:left="936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F5F5F"/>
        <w:sz w:val="15"/>
      </w:rPr>
      <w:t xml:space="preserve">Credential content reflects source CV updated June 2024  |  Medicolegal format prepared July 2026  |  Page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5A5A5A"/>
        <w:sz w:val="16"/>
      </w:rPr>
      <w:t>EUGENE LIPOV, MD  |  MEDICOLEGAL CURRICULUM VITAE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4" w:line="240" w:lineRule="auto"/>
    </w:pPr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Section">
    <w:name w:val="CV Section"/>
    <w:pPr>
      <w:keepNext/>
      <w:spacing w:before="140" w:after="60" w:line="240" w:lineRule="auto"/>
    </w:pPr>
    <w:rPr>
      <w:rFonts w:ascii="Arial" w:hAnsi="Arial" w:eastAsia="Arial"/>
      <w:b/>
      <w:sz w:val="21"/>
    </w:rPr>
  </w:style>
  <w:style w:type="paragraph" w:customStyle="1" w:styleId="CVSubsection">
    <w:name w:val="CV Subsection"/>
    <w:pPr>
      <w:keepNext/>
      <w:spacing w:before="80" w:after="30" w:line="240" w:lineRule="auto"/>
    </w:pPr>
    <w:rPr>
      <w:rFonts w:ascii="Arial" w:hAnsi="Arial" w:eastAsia="Arial"/>
      <w:b/>
      <w:sz w:val="19"/>
    </w:rPr>
  </w:style>
  <w:style w:type="paragraph" w:customStyle="1" w:styleId="CVEntry">
    <w:name w:val="CV Entry"/>
    <w:pPr>
      <w:keepNext w:val="0"/>
      <w:spacing w:before="0" w:after="30" w:line="240" w:lineRule="auto"/>
    </w:pPr>
    <w:rPr>
      <w:rFonts w:ascii="Arial" w:hAnsi="Arial" w:eastAsia="Arial"/>
      <w:b w:val="0"/>
      <w:sz w:val="18"/>
    </w:rPr>
  </w:style>
  <w:style w:type="paragraph" w:customStyle="1" w:styleId="CVSmall">
    <w:name w:val="CV Small"/>
    <w:pPr>
      <w:keepNext w:val="0"/>
      <w:spacing w:before="0" w:after="24" w:line="240" w:lineRule="auto"/>
    </w:pPr>
    <w:rPr>
      <w:rFonts w:ascii="Arial" w:hAnsi="Arial" w:eastAsia="Arial"/>
      <w:b w:val="0"/>
      <w:sz w:val="16"/>
    </w:rPr>
  </w:style>
  <w:style w:type="paragraph" w:customStyle="1" w:styleId="CVPub">
    <w:name w:val="CV Pub"/>
    <w:pPr>
      <w:keepNext w:val="0"/>
      <w:spacing w:before="0" w:after="24" w:line="240" w:lineRule="auto"/>
    </w:pPr>
    <w:rPr>
      <w:rFonts w:ascii="Arial" w:hAnsi="Arial" w:eastAsia="Arial"/>
      <w:b w:val="0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Eugene Lipov, MD - Medicolegal Curriculum Vitae</dc:title>
  <dc:subject>Medicolegal and expert witness curriculum vitae</dc:subject>
  <dc:creator>Eugene Lipov, MD</dc:creator>
  <cp:keywords>medicolegal, expert witness, pain medicine, SGB, CRPS, spinal cord stimulation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